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F8F08" w14:textId="77777777" w:rsidR="008D3AF5" w:rsidRPr="00377CFD" w:rsidRDefault="00000000" w:rsidP="004726E2">
      <w:pPr>
        <w:spacing w:after="3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429EF16F" w14:textId="77777777" w:rsidR="008D3AF5" w:rsidRPr="00377CFD" w:rsidRDefault="00000000" w:rsidP="004726E2">
      <w:pPr>
        <w:spacing w:after="40" w:line="276" w:lineRule="auto"/>
        <w:jc w:val="both"/>
        <w:rPr>
          <w:rFonts w:asciiTheme="majorHAnsi" w:hAnsiTheme="majorHAnsi" w:cstheme="majorHAnsi"/>
          <w:sz w:val="20"/>
          <w:szCs w:val="20"/>
        </w:rPr>
      </w:pPr>
      <w:r w:rsidRPr="00377CFD">
        <w:rPr>
          <w:rFonts w:asciiTheme="majorHAnsi" w:hAnsiTheme="majorHAnsi" w:cstheme="majorHAnsi"/>
          <w:b/>
          <w:bCs/>
          <w:color w:val="666666"/>
          <w:sz w:val="20"/>
          <w:szCs w:val="20"/>
        </w:rPr>
        <w:t>FEDERACIÓN MINERA DE CHILE</w:t>
      </w:r>
    </w:p>
    <w:p w14:paraId="66A10CC2" w14:textId="77777777" w:rsidR="008D3AF5" w:rsidRPr="00377CFD" w:rsidRDefault="00000000" w:rsidP="004726E2">
      <w:pPr>
        <w:spacing w:after="200" w:line="276" w:lineRule="auto"/>
        <w:jc w:val="both"/>
        <w:rPr>
          <w:rFonts w:asciiTheme="majorHAnsi" w:hAnsiTheme="majorHAnsi" w:cstheme="majorHAnsi"/>
          <w:sz w:val="20"/>
          <w:szCs w:val="20"/>
        </w:rPr>
      </w:pPr>
      <w:r w:rsidRPr="00377CFD">
        <w:rPr>
          <w:rFonts w:asciiTheme="majorHAnsi" w:hAnsiTheme="majorHAnsi" w:cstheme="majorHAnsi"/>
          <w:i/>
          <w:iCs/>
          <w:color w:val="666666"/>
          <w:sz w:val="20"/>
          <w:szCs w:val="20"/>
        </w:rPr>
        <w:t>Comisión de Trabajo Pesado</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D3AF5" w:rsidRPr="00377CFD" w14:paraId="1AE4D466" w14:textId="77777777">
        <w:tc>
          <w:tcPr>
            <w:tcW w:w="9360" w:type="dxa"/>
            <w:tcBorders>
              <w:top w:val="single" w:sz="4" w:space="0" w:color="1B3A5C"/>
              <w:left w:val="single" w:sz="4" w:space="0" w:color="1B3A5C"/>
              <w:bottom w:val="single" w:sz="4" w:space="0" w:color="1B3A5C"/>
              <w:right w:val="single" w:sz="4" w:space="0" w:color="1B3A5C"/>
            </w:tcBorders>
            <w:shd w:val="clear" w:color="auto" w:fill="F0F5FA"/>
            <w:tcMar>
              <w:top w:w="120" w:type="dxa"/>
              <w:left w:w="180" w:type="dxa"/>
              <w:bottom w:w="120" w:type="dxa"/>
              <w:right w:w="180" w:type="dxa"/>
            </w:tcMar>
          </w:tcPr>
          <w:p w14:paraId="4B735BB9" w14:textId="77777777" w:rsidR="008D3AF5" w:rsidRPr="00377CFD" w:rsidRDefault="00000000" w:rsidP="009F1587">
            <w:pPr>
              <w:spacing w:after="80" w:line="276" w:lineRule="auto"/>
              <w:jc w:val="center"/>
              <w:rPr>
                <w:rFonts w:asciiTheme="majorHAnsi" w:hAnsiTheme="majorHAnsi" w:cstheme="majorHAnsi"/>
                <w:sz w:val="20"/>
                <w:szCs w:val="20"/>
              </w:rPr>
            </w:pPr>
            <w:r w:rsidRPr="00377CFD">
              <w:rPr>
                <w:rFonts w:asciiTheme="majorHAnsi" w:hAnsiTheme="majorHAnsi" w:cstheme="majorHAnsi"/>
                <w:b/>
                <w:bCs/>
                <w:color w:val="1B3A5C"/>
                <w:sz w:val="20"/>
                <w:szCs w:val="20"/>
              </w:rPr>
              <w:t>PROPUESTA INTEGRAL DE REFORMA LEGISLATIVA</w:t>
            </w:r>
          </w:p>
          <w:p w14:paraId="44D75503" w14:textId="0743D389" w:rsidR="009F1587" w:rsidRPr="00377CFD" w:rsidRDefault="00000000" w:rsidP="009F1587">
            <w:pPr>
              <w:spacing w:after="80" w:line="276" w:lineRule="auto"/>
              <w:jc w:val="center"/>
              <w:rPr>
                <w:rFonts w:asciiTheme="majorHAnsi" w:hAnsiTheme="majorHAnsi" w:cstheme="majorHAnsi"/>
                <w:b/>
                <w:bCs/>
                <w:color w:val="C8922A"/>
                <w:sz w:val="20"/>
                <w:szCs w:val="20"/>
              </w:rPr>
            </w:pPr>
            <w:r w:rsidRPr="00377CFD">
              <w:rPr>
                <w:rFonts w:asciiTheme="majorHAnsi" w:hAnsiTheme="majorHAnsi" w:cstheme="majorHAnsi"/>
                <w:b/>
                <w:bCs/>
                <w:color w:val="C8922A"/>
                <w:sz w:val="20"/>
                <w:szCs w:val="20"/>
              </w:rPr>
              <w:t>SISTEMA DE CALIFICACIÓN AUTOMÁTICA</w:t>
            </w:r>
          </w:p>
          <w:p w14:paraId="23929B9B" w14:textId="13E5289D" w:rsidR="008D3AF5" w:rsidRPr="00377CFD" w:rsidRDefault="00000000" w:rsidP="009F1587">
            <w:pPr>
              <w:spacing w:after="80" w:line="276" w:lineRule="auto"/>
              <w:jc w:val="center"/>
              <w:rPr>
                <w:rFonts w:asciiTheme="majorHAnsi" w:hAnsiTheme="majorHAnsi" w:cstheme="majorHAnsi"/>
                <w:sz w:val="20"/>
                <w:szCs w:val="20"/>
              </w:rPr>
            </w:pPr>
            <w:r w:rsidRPr="00377CFD">
              <w:rPr>
                <w:rFonts w:asciiTheme="majorHAnsi" w:hAnsiTheme="majorHAnsi" w:cstheme="majorHAnsi"/>
                <w:b/>
                <w:bCs/>
                <w:color w:val="C8922A"/>
                <w:sz w:val="20"/>
                <w:szCs w:val="20"/>
              </w:rPr>
              <w:t>DE TRABAJO PESADO</w:t>
            </w:r>
          </w:p>
          <w:p w14:paraId="4A684327" w14:textId="77777777" w:rsidR="008D3AF5" w:rsidRPr="00377CFD" w:rsidRDefault="00000000" w:rsidP="009F1587">
            <w:pPr>
              <w:spacing w:after="100" w:line="276" w:lineRule="auto"/>
              <w:jc w:val="center"/>
              <w:rPr>
                <w:rFonts w:asciiTheme="majorHAnsi" w:hAnsiTheme="majorHAnsi" w:cstheme="majorHAnsi"/>
                <w:sz w:val="20"/>
                <w:szCs w:val="20"/>
              </w:rPr>
            </w:pPr>
            <w:r w:rsidRPr="00377CFD">
              <w:rPr>
                <w:rFonts w:asciiTheme="majorHAnsi" w:hAnsiTheme="majorHAnsi" w:cstheme="majorHAnsi"/>
                <w:b/>
                <w:bCs/>
                <w:color w:val="C8922A"/>
                <w:sz w:val="20"/>
                <w:szCs w:val="20"/>
              </w:rPr>
              <w:t>EN EL SECTOR MINERO CHILENO</w:t>
            </w:r>
          </w:p>
          <w:p w14:paraId="1CE511B3" w14:textId="77777777" w:rsidR="008D3AF5" w:rsidRPr="00377CFD" w:rsidRDefault="00000000" w:rsidP="00D20A2D">
            <w:pPr>
              <w:spacing w:line="276" w:lineRule="auto"/>
              <w:jc w:val="center"/>
              <w:rPr>
                <w:rFonts w:asciiTheme="majorHAnsi" w:hAnsiTheme="majorHAnsi" w:cstheme="majorHAnsi"/>
                <w:sz w:val="20"/>
                <w:szCs w:val="20"/>
              </w:rPr>
            </w:pPr>
            <w:r w:rsidRPr="00377CFD">
              <w:rPr>
                <w:rFonts w:asciiTheme="majorHAnsi" w:hAnsiTheme="majorHAnsi" w:cstheme="majorHAnsi"/>
                <w:i/>
                <w:iCs/>
                <w:color w:val="666666"/>
                <w:sz w:val="20"/>
                <w:szCs w:val="20"/>
              </w:rPr>
              <w:t>Modificación de la Ley N° 19.404 y el Decreto Supremo N° 71 de 1996</w:t>
            </w:r>
          </w:p>
        </w:tc>
      </w:tr>
    </w:tbl>
    <w:p w14:paraId="57B514C3" w14:textId="77777777" w:rsidR="008D3AF5" w:rsidRPr="00377CFD" w:rsidRDefault="00000000" w:rsidP="004726E2">
      <w:pPr>
        <w:spacing w:after="2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6660"/>
      </w:tblGrid>
      <w:tr w:rsidR="008D3AF5" w:rsidRPr="00377CFD" w14:paraId="3FB51501" w14:textId="77777777">
        <w:tc>
          <w:tcPr>
            <w:tcW w:w="270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58EA5029"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Tipo de Documento</w:t>
            </w:r>
          </w:p>
        </w:tc>
        <w:tc>
          <w:tcPr>
            <w:tcW w:w="666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30120E23"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Propuesta de Política Pública y Reforma Normativa</w:t>
            </w:r>
          </w:p>
        </w:tc>
      </w:tr>
      <w:tr w:rsidR="008D3AF5" w:rsidRPr="00377CFD" w14:paraId="43793F3B" w14:textId="77777777">
        <w:tc>
          <w:tcPr>
            <w:tcW w:w="270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20F39B5C"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Elaborado por</w:t>
            </w:r>
          </w:p>
        </w:tc>
        <w:tc>
          <w:tcPr>
            <w:tcW w:w="666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3C9BE3A7"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Comisión de Trabajo Pesado — Federación Minera de Chile</w:t>
            </w:r>
          </w:p>
        </w:tc>
      </w:tr>
      <w:tr w:rsidR="008D3AF5" w:rsidRPr="00377CFD" w14:paraId="7F79FF70" w14:textId="77777777">
        <w:tc>
          <w:tcPr>
            <w:tcW w:w="270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1D7B91CD"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Versión</w:t>
            </w:r>
          </w:p>
        </w:tc>
        <w:tc>
          <w:tcPr>
            <w:tcW w:w="666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2895375F" w14:textId="255EF2F4" w:rsidR="008D3AF5" w:rsidRPr="00377CFD" w:rsidRDefault="00EE10BF" w:rsidP="004726E2">
            <w:pPr>
              <w:spacing w:line="276" w:lineRule="auto"/>
              <w:jc w:val="both"/>
              <w:rPr>
                <w:rFonts w:asciiTheme="majorHAnsi" w:hAnsiTheme="majorHAnsi" w:cstheme="majorHAnsi"/>
                <w:sz w:val="20"/>
                <w:szCs w:val="20"/>
              </w:rPr>
            </w:pPr>
            <w:r>
              <w:rPr>
                <w:rFonts w:asciiTheme="majorHAnsi" w:hAnsiTheme="majorHAnsi" w:cstheme="majorHAnsi"/>
                <w:color w:val="1A1A1A"/>
                <w:sz w:val="20"/>
                <w:szCs w:val="20"/>
              </w:rPr>
              <w:t>2</w:t>
            </w:r>
            <w:r w:rsidRPr="00377CFD">
              <w:rPr>
                <w:rFonts w:asciiTheme="majorHAnsi" w:hAnsiTheme="majorHAnsi" w:cstheme="majorHAnsi"/>
                <w:color w:val="1A1A1A"/>
                <w:sz w:val="20"/>
                <w:szCs w:val="20"/>
              </w:rPr>
              <w:t>.0 — Abril 2026</w:t>
            </w:r>
          </w:p>
        </w:tc>
      </w:tr>
      <w:tr w:rsidR="008D3AF5" w:rsidRPr="00377CFD" w14:paraId="220FE1C5" w14:textId="77777777">
        <w:tc>
          <w:tcPr>
            <w:tcW w:w="270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06497A48"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Clasificación</w:t>
            </w:r>
          </w:p>
        </w:tc>
        <w:tc>
          <w:tcPr>
            <w:tcW w:w="666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4BE4C2BE"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Uso Reservado — Consulta Técnica</w:t>
            </w:r>
          </w:p>
        </w:tc>
      </w:tr>
      <w:tr w:rsidR="008D3AF5" w:rsidRPr="00377CFD" w14:paraId="26DB4C7E" w14:textId="77777777">
        <w:tc>
          <w:tcPr>
            <w:tcW w:w="270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565507E0"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Base normativa</w:t>
            </w:r>
          </w:p>
        </w:tc>
        <w:tc>
          <w:tcPr>
            <w:tcW w:w="666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4C16B19E" w14:textId="77777777" w:rsidR="00EE10BF" w:rsidRDefault="00000000" w:rsidP="004726E2">
            <w:pPr>
              <w:spacing w:line="276" w:lineRule="auto"/>
              <w:jc w:val="both"/>
              <w:rPr>
                <w:rFonts w:asciiTheme="majorHAnsi" w:hAnsiTheme="majorHAnsi" w:cstheme="majorHAnsi"/>
                <w:color w:val="1A1A1A"/>
                <w:sz w:val="20"/>
                <w:szCs w:val="20"/>
              </w:rPr>
            </w:pPr>
            <w:r w:rsidRPr="00377CFD">
              <w:rPr>
                <w:rFonts w:asciiTheme="majorHAnsi" w:hAnsiTheme="majorHAnsi" w:cstheme="majorHAnsi"/>
                <w:color w:val="1A1A1A"/>
                <w:sz w:val="20"/>
                <w:szCs w:val="20"/>
              </w:rPr>
              <w:t xml:space="preserve">Ley N° 19.404 (D.O. 21.08.1995) y D.S. N° 71 (D.O. 13.07.1996), </w:t>
            </w:r>
          </w:p>
          <w:p w14:paraId="171BF6E4" w14:textId="469B3A41"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última mod. D. 49/2018</w:t>
            </w:r>
          </w:p>
        </w:tc>
      </w:tr>
    </w:tbl>
    <w:p w14:paraId="46123213"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sz w:val="20"/>
          <w:szCs w:val="20"/>
        </w:rPr>
        <w:br w:type="page"/>
      </w:r>
    </w:p>
    <w:p w14:paraId="4E31B6DD" w14:textId="77777777" w:rsidR="00E138EE" w:rsidRDefault="00E138EE" w:rsidP="004726E2">
      <w:pPr>
        <w:pStyle w:val="Ttulo1"/>
        <w:pBdr>
          <w:bottom w:val="single" w:sz="10" w:space="0" w:color="C8922A"/>
        </w:pBdr>
        <w:jc w:val="both"/>
        <w:rPr>
          <w:rFonts w:asciiTheme="majorHAnsi" w:hAnsiTheme="majorHAnsi" w:cstheme="majorHAnsi"/>
          <w:sz w:val="20"/>
          <w:szCs w:val="20"/>
        </w:rPr>
      </w:pPr>
    </w:p>
    <w:sdt>
      <w:sdtPr>
        <w:rPr>
          <w:rFonts w:ascii="Arial" w:eastAsia="Arial" w:hAnsi="Arial" w:cs="Arial"/>
          <w:color w:val="auto"/>
          <w:sz w:val="22"/>
          <w:szCs w:val="22"/>
          <w:lang w:val="es-ES"/>
        </w:rPr>
        <w:id w:val="-541827116"/>
        <w:docPartObj>
          <w:docPartGallery w:val="Table of Contents"/>
          <w:docPartUnique/>
        </w:docPartObj>
      </w:sdtPr>
      <w:sdtEndPr>
        <w:rPr>
          <w:b/>
          <w:bCs/>
        </w:rPr>
      </w:sdtEndPr>
      <w:sdtContent>
        <w:p w14:paraId="5486973E" w14:textId="68371FB3" w:rsidR="00E138EE" w:rsidRDefault="00E138EE">
          <w:pPr>
            <w:pStyle w:val="TtuloTDC"/>
          </w:pPr>
          <w:r>
            <w:rPr>
              <w:lang w:val="es-ES"/>
            </w:rPr>
            <w:t>Contenido</w:t>
          </w:r>
        </w:p>
        <w:p w14:paraId="0880C157" w14:textId="7E0745FF" w:rsidR="00B42FAB" w:rsidRDefault="00E138EE">
          <w:pPr>
            <w:pStyle w:val="TDC1"/>
            <w:tabs>
              <w:tab w:val="right" w:leader="dot" w:pos="9890"/>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228400928" w:history="1">
            <w:r w:rsidR="00B42FAB" w:rsidRPr="007F12B7">
              <w:rPr>
                <w:rStyle w:val="Hipervnculo"/>
                <w:rFonts w:asciiTheme="majorHAnsi" w:hAnsiTheme="majorHAnsi" w:cstheme="majorHAnsi"/>
                <w:noProof/>
              </w:rPr>
              <w:t>I. RESUMEN EJECUTIVO</w:t>
            </w:r>
            <w:r w:rsidR="00B42FAB">
              <w:rPr>
                <w:noProof/>
                <w:webHidden/>
              </w:rPr>
              <w:tab/>
            </w:r>
            <w:r w:rsidR="00B42FAB">
              <w:rPr>
                <w:noProof/>
                <w:webHidden/>
              </w:rPr>
              <w:fldChar w:fldCharType="begin"/>
            </w:r>
            <w:r w:rsidR="00B42FAB">
              <w:rPr>
                <w:noProof/>
                <w:webHidden/>
              </w:rPr>
              <w:instrText xml:space="preserve"> PAGEREF _Toc228400928 \h </w:instrText>
            </w:r>
            <w:r w:rsidR="00B42FAB">
              <w:rPr>
                <w:noProof/>
                <w:webHidden/>
              </w:rPr>
            </w:r>
            <w:r w:rsidR="00B42FAB">
              <w:rPr>
                <w:noProof/>
                <w:webHidden/>
              </w:rPr>
              <w:fldChar w:fldCharType="separate"/>
            </w:r>
            <w:r w:rsidR="00B42FAB">
              <w:rPr>
                <w:noProof/>
                <w:webHidden/>
              </w:rPr>
              <w:t>4</w:t>
            </w:r>
            <w:r w:rsidR="00B42FAB">
              <w:rPr>
                <w:noProof/>
                <w:webHidden/>
              </w:rPr>
              <w:fldChar w:fldCharType="end"/>
            </w:r>
          </w:hyperlink>
        </w:p>
        <w:p w14:paraId="4E85D13D" w14:textId="6599BC05"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29" w:history="1">
            <w:r w:rsidRPr="007F12B7">
              <w:rPr>
                <w:rStyle w:val="Hipervnculo"/>
                <w:rFonts w:asciiTheme="majorHAnsi" w:hAnsiTheme="majorHAnsi" w:cstheme="majorHAnsi"/>
                <w:noProof/>
              </w:rPr>
              <w:t>Impacto proyectado principal</w:t>
            </w:r>
            <w:r>
              <w:rPr>
                <w:noProof/>
                <w:webHidden/>
              </w:rPr>
              <w:tab/>
            </w:r>
            <w:r>
              <w:rPr>
                <w:noProof/>
                <w:webHidden/>
              </w:rPr>
              <w:fldChar w:fldCharType="begin"/>
            </w:r>
            <w:r>
              <w:rPr>
                <w:noProof/>
                <w:webHidden/>
              </w:rPr>
              <w:instrText xml:space="preserve"> PAGEREF _Toc228400929 \h </w:instrText>
            </w:r>
            <w:r>
              <w:rPr>
                <w:noProof/>
                <w:webHidden/>
              </w:rPr>
            </w:r>
            <w:r>
              <w:rPr>
                <w:noProof/>
                <w:webHidden/>
              </w:rPr>
              <w:fldChar w:fldCharType="separate"/>
            </w:r>
            <w:r>
              <w:rPr>
                <w:noProof/>
                <w:webHidden/>
              </w:rPr>
              <w:t>5</w:t>
            </w:r>
            <w:r>
              <w:rPr>
                <w:noProof/>
                <w:webHidden/>
              </w:rPr>
              <w:fldChar w:fldCharType="end"/>
            </w:r>
          </w:hyperlink>
        </w:p>
        <w:p w14:paraId="7EB8F88F" w14:textId="00720B7F" w:rsidR="00B42FAB" w:rsidRDefault="00B42FAB">
          <w:pPr>
            <w:pStyle w:val="TDC1"/>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30" w:history="1">
            <w:r w:rsidRPr="007F12B7">
              <w:rPr>
                <w:rStyle w:val="Hipervnculo"/>
                <w:rFonts w:asciiTheme="majorHAnsi" w:hAnsiTheme="majorHAnsi" w:cstheme="majorHAnsi"/>
                <w:noProof/>
              </w:rPr>
              <w:t>II. ANÁLISIS DE LA ESTRUCTURA NORMATIVA ACTUAL</w:t>
            </w:r>
            <w:r>
              <w:rPr>
                <w:noProof/>
                <w:webHidden/>
              </w:rPr>
              <w:tab/>
            </w:r>
            <w:r>
              <w:rPr>
                <w:noProof/>
                <w:webHidden/>
              </w:rPr>
              <w:fldChar w:fldCharType="begin"/>
            </w:r>
            <w:r>
              <w:rPr>
                <w:noProof/>
                <w:webHidden/>
              </w:rPr>
              <w:instrText xml:space="preserve"> PAGEREF _Toc228400930 \h </w:instrText>
            </w:r>
            <w:r>
              <w:rPr>
                <w:noProof/>
                <w:webHidden/>
              </w:rPr>
            </w:r>
            <w:r>
              <w:rPr>
                <w:noProof/>
                <w:webHidden/>
              </w:rPr>
              <w:fldChar w:fldCharType="separate"/>
            </w:r>
            <w:r>
              <w:rPr>
                <w:noProof/>
                <w:webHidden/>
              </w:rPr>
              <w:t>6</w:t>
            </w:r>
            <w:r>
              <w:rPr>
                <w:noProof/>
                <w:webHidden/>
              </w:rPr>
              <w:fldChar w:fldCharType="end"/>
            </w:r>
          </w:hyperlink>
        </w:p>
        <w:p w14:paraId="19247944" w14:textId="6B92B0A8"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31" w:history="1">
            <w:r w:rsidRPr="007F12B7">
              <w:rPr>
                <w:rStyle w:val="Hipervnculo"/>
                <w:rFonts w:asciiTheme="majorHAnsi" w:hAnsiTheme="majorHAnsi" w:cstheme="majorHAnsi"/>
                <w:noProof/>
              </w:rPr>
              <w:t>2.1 La Ley N° 19.404: Objeto, Beneficios y Articulado Clave</w:t>
            </w:r>
            <w:r>
              <w:rPr>
                <w:noProof/>
                <w:webHidden/>
              </w:rPr>
              <w:tab/>
            </w:r>
            <w:r>
              <w:rPr>
                <w:noProof/>
                <w:webHidden/>
              </w:rPr>
              <w:fldChar w:fldCharType="begin"/>
            </w:r>
            <w:r>
              <w:rPr>
                <w:noProof/>
                <w:webHidden/>
              </w:rPr>
              <w:instrText xml:space="preserve"> PAGEREF _Toc228400931 \h </w:instrText>
            </w:r>
            <w:r>
              <w:rPr>
                <w:noProof/>
                <w:webHidden/>
              </w:rPr>
            </w:r>
            <w:r>
              <w:rPr>
                <w:noProof/>
                <w:webHidden/>
              </w:rPr>
              <w:fldChar w:fldCharType="separate"/>
            </w:r>
            <w:r>
              <w:rPr>
                <w:noProof/>
                <w:webHidden/>
              </w:rPr>
              <w:t>6</w:t>
            </w:r>
            <w:r>
              <w:rPr>
                <w:noProof/>
                <w:webHidden/>
              </w:rPr>
              <w:fldChar w:fldCharType="end"/>
            </w:r>
          </w:hyperlink>
        </w:p>
        <w:p w14:paraId="274CEE29" w14:textId="30505B74"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32" w:history="1">
            <w:r w:rsidRPr="007F12B7">
              <w:rPr>
                <w:rStyle w:val="Hipervnculo"/>
                <w:rFonts w:asciiTheme="majorHAnsi" w:hAnsiTheme="majorHAnsi" w:cstheme="majorHAnsi"/>
                <w:noProof/>
              </w:rPr>
              <w:t>Beneficios concretos de la calificación (síntesis articulada)</w:t>
            </w:r>
            <w:r>
              <w:rPr>
                <w:noProof/>
                <w:webHidden/>
              </w:rPr>
              <w:tab/>
            </w:r>
            <w:r>
              <w:rPr>
                <w:noProof/>
                <w:webHidden/>
              </w:rPr>
              <w:fldChar w:fldCharType="begin"/>
            </w:r>
            <w:r>
              <w:rPr>
                <w:noProof/>
                <w:webHidden/>
              </w:rPr>
              <w:instrText xml:space="preserve"> PAGEREF _Toc228400932 \h </w:instrText>
            </w:r>
            <w:r>
              <w:rPr>
                <w:noProof/>
                <w:webHidden/>
              </w:rPr>
            </w:r>
            <w:r>
              <w:rPr>
                <w:noProof/>
                <w:webHidden/>
              </w:rPr>
              <w:fldChar w:fldCharType="separate"/>
            </w:r>
            <w:r>
              <w:rPr>
                <w:noProof/>
                <w:webHidden/>
              </w:rPr>
              <w:t>6</w:t>
            </w:r>
            <w:r>
              <w:rPr>
                <w:noProof/>
                <w:webHidden/>
              </w:rPr>
              <w:fldChar w:fldCharType="end"/>
            </w:r>
          </w:hyperlink>
        </w:p>
        <w:p w14:paraId="4D59672C" w14:textId="150EC0B5"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33" w:history="1">
            <w:r w:rsidRPr="007F12B7">
              <w:rPr>
                <w:rStyle w:val="Hipervnculo"/>
                <w:rFonts w:asciiTheme="majorHAnsi" w:hAnsiTheme="majorHAnsi" w:cstheme="majorHAnsi"/>
                <w:noProof/>
              </w:rPr>
              <w:t>2.2 El Decreto N° 71: El Procedimiento Ante la CEN Artículo por Artículo</w:t>
            </w:r>
            <w:r>
              <w:rPr>
                <w:noProof/>
                <w:webHidden/>
              </w:rPr>
              <w:tab/>
            </w:r>
            <w:r>
              <w:rPr>
                <w:noProof/>
                <w:webHidden/>
              </w:rPr>
              <w:fldChar w:fldCharType="begin"/>
            </w:r>
            <w:r>
              <w:rPr>
                <w:noProof/>
                <w:webHidden/>
              </w:rPr>
              <w:instrText xml:space="preserve"> PAGEREF _Toc228400933 \h </w:instrText>
            </w:r>
            <w:r>
              <w:rPr>
                <w:noProof/>
                <w:webHidden/>
              </w:rPr>
            </w:r>
            <w:r>
              <w:rPr>
                <w:noProof/>
                <w:webHidden/>
              </w:rPr>
              <w:fldChar w:fldCharType="separate"/>
            </w:r>
            <w:r>
              <w:rPr>
                <w:noProof/>
                <w:webHidden/>
              </w:rPr>
              <w:t>7</w:t>
            </w:r>
            <w:r>
              <w:rPr>
                <w:noProof/>
                <w:webHidden/>
              </w:rPr>
              <w:fldChar w:fldCharType="end"/>
            </w:r>
          </w:hyperlink>
        </w:p>
        <w:p w14:paraId="79D7D960" w14:textId="126CDF7B"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34" w:history="1">
            <w:r w:rsidRPr="007F12B7">
              <w:rPr>
                <w:rStyle w:val="Hipervnculo"/>
                <w:rFonts w:asciiTheme="majorHAnsi" w:hAnsiTheme="majorHAnsi" w:cstheme="majorHAnsi"/>
                <w:noProof/>
              </w:rPr>
              <w:t>2.3 Seis Fricciones Estructurales que Bloquean la Calificación Minera</w:t>
            </w:r>
            <w:r>
              <w:rPr>
                <w:noProof/>
                <w:webHidden/>
              </w:rPr>
              <w:tab/>
            </w:r>
            <w:r>
              <w:rPr>
                <w:noProof/>
                <w:webHidden/>
              </w:rPr>
              <w:fldChar w:fldCharType="begin"/>
            </w:r>
            <w:r>
              <w:rPr>
                <w:noProof/>
                <w:webHidden/>
              </w:rPr>
              <w:instrText xml:space="preserve"> PAGEREF _Toc228400934 \h </w:instrText>
            </w:r>
            <w:r>
              <w:rPr>
                <w:noProof/>
                <w:webHidden/>
              </w:rPr>
            </w:r>
            <w:r>
              <w:rPr>
                <w:noProof/>
                <w:webHidden/>
              </w:rPr>
              <w:fldChar w:fldCharType="separate"/>
            </w:r>
            <w:r>
              <w:rPr>
                <w:noProof/>
                <w:webHidden/>
              </w:rPr>
              <w:t>8</w:t>
            </w:r>
            <w:r>
              <w:rPr>
                <w:noProof/>
                <w:webHidden/>
              </w:rPr>
              <w:fldChar w:fldCharType="end"/>
            </w:r>
          </w:hyperlink>
        </w:p>
        <w:p w14:paraId="68BB2245" w14:textId="50FBFFFE" w:rsidR="00B42FAB" w:rsidRDefault="00B42FAB">
          <w:pPr>
            <w:pStyle w:val="TDC1"/>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35" w:history="1">
            <w:r w:rsidRPr="007F12B7">
              <w:rPr>
                <w:rStyle w:val="Hipervnculo"/>
                <w:rFonts w:asciiTheme="majorHAnsi" w:hAnsiTheme="majorHAnsi" w:cstheme="majorHAnsi"/>
                <w:noProof/>
              </w:rPr>
              <w:t>III. PROPUESTA DE REFORMA LEGISLATIVA</w:t>
            </w:r>
            <w:r>
              <w:rPr>
                <w:noProof/>
                <w:webHidden/>
              </w:rPr>
              <w:tab/>
            </w:r>
            <w:r>
              <w:rPr>
                <w:noProof/>
                <w:webHidden/>
              </w:rPr>
              <w:fldChar w:fldCharType="begin"/>
            </w:r>
            <w:r>
              <w:rPr>
                <w:noProof/>
                <w:webHidden/>
              </w:rPr>
              <w:instrText xml:space="preserve"> PAGEREF _Toc228400935 \h </w:instrText>
            </w:r>
            <w:r>
              <w:rPr>
                <w:noProof/>
                <w:webHidden/>
              </w:rPr>
            </w:r>
            <w:r>
              <w:rPr>
                <w:noProof/>
                <w:webHidden/>
              </w:rPr>
              <w:fldChar w:fldCharType="separate"/>
            </w:r>
            <w:r>
              <w:rPr>
                <w:noProof/>
                <w:webHidden/>
              </w:rPr>
              <w:t>9</w:t>
            </w:r>
            <w:r>
              <w:rPr>
                <w:noProof/>
                <w:webHidden/>
              </w:rPr>
              <w:fldChar w:fldCharType="end"/>
            </w:r>
          </w:hyperlink>
        </w:p>
        <w:p w14:paraId="6E1EAE92" w14:textId="6E16DB72"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36" w:history="1">
            <w:r w:rsidRPr="007F12B7">
              <w:rPr>
                <w:rStyle w:val="Hipervnculo"/>
                <w:rFonts w:asciiTheme="majorHAnsi" w:hAnsiTheme="majorHAnsi" w:cstheme="majorHAnsi"/>
                <w:noProof/>
              </w:rPr>
              <w:t>3.1 Principios Rectores de la Reforma</w:t>
            </w:r>
            <w:r>
              <w:rPr>
                <w:noProof/>
                <w:webHidden/>
              </w:rPr>
              <w:tab/>
            </w:r>
            <w:r>
              <w:rPr>
                <w:noProof/>
                <w:webHidden/>
              </w:rPr>
              <w:fldChar w:fldCharType="begin"/>
            </w:r>
            <w:r>
              <w:rPr>
                <w:noProof/>
                <w:webHidden/>
              </w:rPr>
              <w:instrText xml:space="preserve"> PAGEREF _Toc228400936 \h </w:instrText>
            </w:r>
            <w:r>
              <w:rPr>
                <w:noProof/>
                <w:webHidden/>
              </w:rPr>
            </w:r>
            <w:r>
              <w:rPr>
                <w:noProof/>
                <w:webHidden/>
              </w:rPr>
              <w:fldChar w:fldCharType="separate"/>
            </w:r>
            <w:r>
              <w:rPr>
                <w:noProof/>
                <w:webHidden/>
              </w:rPr>
              <w:t>9</w:t>
            </w:r>
            <w:r>
              <w:rPr>
                <w:noProof/>
                <w:webHidden/>
              </w:rPr>
              <w:fldChar w:fldCharType="end"/>
            </w:r>
          </w:hyperlink>
        </w:p>
        <w:p w14:paraId="2A1BFA65" w14:textId="1E307169"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37" w:history="1">
            <w:r w:rsidRPr="007F12B7">
              <w:rPr>
                <w:rStyle w:val="Hipervnculo"/>
                <w:rFonts w:asciiTheme="majorHAnsi" w:hAnsiTheme="majorHAnsi" w:cstheme="majorHAnsi"/>
                <w:noProof/>
              </w:rPr>
              <w:t>3.2 Modificaciones Propuestas a la Ley N° 19.404</w:t>
            </w:r>
            <w:r>
              <w:rPr>
                <w:noProof/>
                <w:webHidden/>
              </w:rPr>
              <w:tab/>
            </w:r>
            <w:r>
              <w:rPr>
                <w:noProof/>
                <w:webHidden/>
              </w:rPr>
              <w:fldChar w:fldCharType="begin"/>
            </w:r>
            <w:r>
              <w:rPr>
                <w:noProof/>
                <w:webHidden/>
              </w:rPr>
              <w:instrText xml:space="preserve"> PAGEREF _Toc228400937 \h </w:instrText>
            </w:r>
            <w:r>
              <w:rPr>
                <w:noProof/>
                <w:webHidden/>
              </w:rPr>
            </w:r>
            <w:r>
              <w:rPr>
                <w:noProof/>
                <w:webHidden/>
              </w:rPr>
              <w:fldChar w:fldCharType="separate"/>
            </w:r>
            <w:r>
              <w:rPr>
                <w:noProof/>
                <w:webHidden/>
              </w:rPr>
              <w:t>9</w:t>
            </w:r>
            <w:r>
              <w:rPr>
                <w:noProof/>
                <w:webHidden/>
              </w:rPr>
              <w:fldChar w:fldCharType="end"/>
            </w:r>
          </w:hyperlink>
        </w:p>
        <w:p w14:paraId="0E61C8FD" w14:textId="752EDCFF"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38" w:history="1">
            <w:r w:rsidRPr="007F12B7">
              <w:rPr>
                <w:rStyle w:val="Hipervnculo"/>
                <w:rFonts w:asciiTheme="majorHAnsi" w:hAnsiTheme="majorHAnsi" w:cstheme="majorHAnsi"/>
                <w:noProof/>
              </w:rPr>
              <w:t>3.3 Modificaciones al Decreto N° 71 — RENAPMA y Auditoría</w:t>
            </w:r>
            <w:r>
              <w:rPr>
                <w:noProof/>
                <w:webHidden/>
              </w:rPr>
              <w:tab/>
            </w:r>
            <w:r>
              <w:rPr>
                <w:noProof/>
                <w:webHidden/>
              </w:rPr>
              <w:fldChar w:fldCharType="begin"/>
            </w:r>
            <w:r>
              <w:rPr>
                <w:noProof/>
                <w:webHidden/>
              </w:rPr>
              <w:instrText xml:space="preserve"> PAGEREF _Toc228400938 \h </w:instrText>
            </w:r>
            <w:r>
              <w:rPr>
                <w:noProof/>
                <w:webHidden/>
              </w:rPr>
            </w:r>
            <w:r>
              <w:rPr>
                <w:noProof/>
                <w:webHidden/>
              </w:rPr>
              <w:fldChar w:fldCharType="separate"/>
            </w:r>
            <w:r>
              <w:rPr>
                <w:noProof/>
                <w:webHidden/>
              </w:rPr>
              <w:t>12</w:t>
            </w:r>
            <w:r>
              <w:rPr>
                <w:noProof/>
                <w:webHidden/>
              </w:rPr>
              <w:fldChar w:fldCharType="end"/>
            </w:r>
          </w:hyperlink>
        </w:p>
        <w:p w14:paraId="586852A6" w14:textId="551962D1"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39" w:history="1">
            <w:r w:rsidRPr="007F12B7">
              <w:rPr>
                <w:rStyle w:val="Hipervnculo"/>
                <w:rFonts w:asciiTheme="majorHAnsi" w:hAnsiTheme="majorHAnsi" w:cstheme="majorHAnsi"/>
                <w:noProof/>
              </w:rPr>
              <w:t>Propuesta Nuevo Título V bis: Del RENAPMA y el Sistema de Auditoría</w:t>
            </w:r>
            <w:r>
              <w:rPr>
                <w:noProof/>
                <w:webHidden/>
              </w:rPr>
              <w:tab/>
            </w:r>
            <w:r>
              <w:rPr>
                <w:noProof/>
                <w:webHidden/>
              </w:rPr>
              <w:fldChar w:fldCharType="begin"/>
            </w:r>
            <w:r>
              <w:rPr>
                <w:noProof/>
                <w:webHidden/>
              </w:rPr>
              <w:instrText xml:space="preserve"> PAGEREF _Toc228400939 \h </w:instrText>
            </w:r>
            <w:r>
              <w:rPr>
                <w:noProof/>
                <w:webHidden/>
              </w:rPr>
            </w:r>
            <w:r>
              <w:rPr>
                <w:noProof/>
                <w:webHidden/>
              </w:rPr>
              <w:fldChar w:fldCharType="separate"/>
            </w:r>
            <w:r>
              <w:rPr>
                <w:noProof/>
                <w:webHidden/>
              </w:rPr>
              <w:t>12</w:t>
            </w:r>
            <w:r>
              <w:rPr>
                <w:noProof/>
                <w:webHidden/>
              </w:rPr>
              <w:fldChar w:fldCharType="end"/>
            </w:r>
          </w:hyperlink>
        </w:p>
        <w:p w14:paraId="353781BF" w14:textId="36A8CD50"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40" w:history="1">
            <w:r w:rsidRPr="007F12B7">
              <w:rPr>
                <w:rStyle w:val="Hipervnculo"/>
                <w:rFonts w:asciiTheme="majorHAnsi" w:hAnsiTheme="majorHAnsi" w:cstheme="majorHAnsi"/>
                <w:noProof/>
              </w:rPr>
              <w:t>3.4 Tabla Comparativa: Sistema Actual vs. Sistema Propuesto</w:t>
            </w:r>
            <w:r>
              <w:rPr>
                <w:noProof/>
                <w:webHidden/>
              </w:rPr>
              <w:tab/>
            </w:r>
            <w:r>
              <w:rPr>
                <w:noProof/>
                <w:webHidden/>
              </w:rPr>
              <w:fldChar w:fldCharType="begin"/>
            </w:r>
            <w:r>
              <w:rPr>
                <w:noProof/>
                <w:webHidden/>
              </w:rPr>
              <w:instrText xml:space="preserve"> PAGEREF _Toc228400940 \h </w:instrText>
            </w:r>
            <w:r>
              <w:rPr>
                <w:noProof/>
                <w:webHidden/>
              </w:rPr>
            </w:r>
            <w:r>
              <w:rPr>
                <w:noProof/>
                <w:webHidden/>
              </w:rPr>
              <w:fldChar w:fldCharType="separate"/>
            </w:r>
            <w:r>
              <w:rPr>
                <w:noProof/>
                <w:webHidden/>
              </w:rPr>
              <w:t>13</w:t>
            </w:r>
            <w:r>
              <w:rPr>
                <w:noProof/>
                <w:webHidden/>
              </w:rPr>
              <w:fldChar w:fldCharType="end"/>
            </w:r>
          </w:hyperlink>
        </w:p>
        <w:p w14:paraId="2D795541" w14:textId="1F5408AC" w:rsidR="00B42FAB" w:rsidRDefault="00B42FAB">
          <w:pPr>
            <w:pStyle w:val="TDC1"/>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41" w:history="1">
            <w:r w:rsidRPr="007F12B7">
              <w:rPr>
                <w:rStyle w:val="Hipervnculo"/>
                <w:rFonts w:asciiTheme="majorHAnsi" w:hAnsiTheme="majorHAnsi" w:cstheme="majorHAnsi"/>
                <w:noProof/>
              </w:rPr>
              <w:t>IV. RUTA DE IMPLEMENTACIÓN EN 7 PASOS</w:t>
            </w:r>
            <w:r>
              <w:rPr>
                <w:noProof/>
                <w:webHidden/>
              </w:rPr>
              <w:tab/>
            </w:r>
            <w:r>
              <w:rPr>
                <w:noProof/>
                <w:webHidden/>
              </w:rPr>
              <w:fldChar w:fldCharType="begin"/>
            </w:r>
            <w:r>
              <w:rPr>
                <w:noProof/>
                <w:webHidden/>
              </w:rPr>
              <w:instrText xml:space="preserve"> PAGEREF _Toc228400941 \h </w:instrText>
            </w:r>
            <w:r>
              <w:rPr>
                <w:noProof/>
                <w:webHidden/>
              </w:rPr>
            </w:r>
            <w:r>
              <w:rPr>
                <w:noProof/>
                <w:webHidden/>
              </w:rPr>
              <w:fldChar w:fldCharType="separate"/>
            </w:r>
            <w:r>
              <w:rPr>
                <w:noProof/>
                <w:webHidden/>
              </w:rPr>
              <w:t>14</w:t>
            </w:r>
            <w:r>
              <w:rPr>
                <w:noProof/>
                <w:webHidden/>
              </w:rPr>
              <w:fldChar w:fldCharType="end"/>
            </w:r>
          </w:hyperlink>
        </w:p>
        <w:p w14:paraId="22C8626D" w14:textId="493A8995" w:rsidR="00B42FAB" w:rsidRDefault="00B42FAB">
          <w:pPr>
            <w:pStyle w:val="TDC1"/>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42" w:history="1">
            <w:r w:rsidRPr="007F12B7">
              <w:rPr>
                <w:rStyle w:val="Hipervnculo"/>
                <w:rFonts w:asciiTheme="majorHAnsi" w:hAnsiTheme="majorHAnsi" w:cstheme="majorHAnsi"/>
                <w:noProof/>
              </w:rPr>
              <w:t>V. INFORME TÉCNICO-ESTADÍSTICO</w:t>
            </w:r>
            <w:r>
              <w:rPr>
                <w:noProof/>
                <w:webHidden/>
              </w:rPr>
              <w:tab/>
            </w:r>
            <w:r>
              <w:rPr>
                <w:noProof/>
                <w:webHidden/>
              </w:rPr>
              <w:fldChar w:fldCharType="begin"/>
            </w:r>
            <w:r>
              <w:rPr>
                <w:noProof/>
                <w:webHidden/>
              </w:rPr>
              <w:instrText xml:space="preserve"> PAGEREF _Toc228400942 \h </w:instrText>
            </w:r>
            <w:r>
              <w:rPr>
                <w:noProof/>
                <w:webHidden/>
              </w:rPr>
            </w:r>
            <w:r>
              <w:rPr>
                <w:noProof/>
                <w:webHidden/>
              </w:rPr>
              <w:fldChar w:fldCharType="separate"/>
            </w:r>
            <w:r>
              <w:rPr>
                <w:noProof/>
                <w:webHidden/>
              </w:rPr>
              <w:t>18</w:t>
            </w:r>
            <w:r>
              <w:rPr>
                <w:noProof/>
                <w:webHidden/>
              </w:rPr>
              <w:fldChar w:fldCharType="end"/>
            </w:r>
          </w:hyperlink>
        </w:p>
        <w:p w14:paraId="7C74B1D5" w14:textId="1C772921"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43" w:history="1">
            <w:r w:rsidRPr="007F12B7">
              <w:rPr>
                <w:rStyle w:val="Hipervnculo"/>
                <w:rFonts w:asciiTheme="majorHAnsi" w:hAnsiTheme="majorHAnsi" w:cstheme="majorHAnsi"/>
                <w:noProof/>
              </w:rPr>
              <w:t>5.1 Prevalencia y Brecha de Cobertura</w:t>
            </w:r>
            <w:r>
              <w:rPr>
                <w:noProof/>
                <w:webHidden/>
              </w:rPr>
              <w:tab/>
            </w:r>
            <w:r>
              <w:rPr>
                <w:noProof/>
                <w:webHidden/>
              </w:rPr>
              <w:fldChar w:fldCharType="begin"/>
            </w:r>
            <w:r>
              <w:rPr>
                <w:noProof/>
                <w:webHidden/>
              </w:rPr>
              <w:instrText xml:space="preserve"> PAGEREF _Toc228400943 \h </w:instrText>
            </w:r>
            <w:r>
              <w:rPr>
                <w:noProof/>
                <w:webHidden/>
              </w:rPr>
            </w:r>
            <w:r>
              <w:rPr>
                <w:noProof/>
                <w:webHidden/>
              </w:rPr>
              <w:fldChar w:fldCharType="separate"/>
            </w:r>
            <w:r>
              <w:rPr>
                <w:noProof/>
                <w:webHidden/>
              </w:rPr>
              <w:t>18</w:t>
            </w:r>
            <w:r>
              <w:rPr>
                <w:noProof/>
                <w:webHidden/>
              </w:rPr>
              <w:fldChar w:fldCharType="end"/>
            </w:r>
          </w:hyperlink>
        </w:p>
        <w:p w14:paraId="23D72819" w14:textId="7D57952B"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44" w:history="1">
            <w:r w:rsidRPr="007F12B7">
              <w:rPr>
                <w:rStyle w:val="Hipervnculo"/>
                <w:rFonts w:asciiTheme="majorHAnsi" w:hAnsiTheme="majorHAnsi" w:cstheme="majorHAnsi"/>
                <w:noProof/>
              </w:rPr>
              <w:t>Universo laboral minero y cobertura actual estimada</w:t>
            </w:r>
            <w:r>
              <w:rPr>
                <w:noProof/>
                <w:webHidden/>
              </w:rPr>
              <w:tab/>
            </w:r>
            <w:r>
              <w:rPr>
                <w:noProof/>
                <w:webHidden/>
              </w:rPr>
              <w:fldChar w:fldCharType="begin"/>
            </w:r>
            <w:r>
              <w:rPr>
                <w:noProof/>
                <w:webHidden/>
              </w:rPr>
              <w:instrText xml:space="preserve"> PAGEREF _Toc228400944 \h </w:instrText>
            </w:r>
            <w:r>
              <w:rPr>
                <w:noProof/>
                <w:webHidden/>
              </w:rPr>
            </w:r>
            <w:r>
              <w:rPr>
                <w:noProof/>
                <w:webHidden/>
              </w:rPr>
              <w:fldChar w:fldCharType="separate"/>
            </w:r>
            <w:r>
              <w:rPr>
                <w:noProof/>
                <w:webHidden/>
              </w:rPr>
              <w:t>18</w:t>
            </w:r>
            <w:r>
              <w:rPr>
                <w:noProof/>
                <w:webHidden/>
              </w:rPr>
              <w:fldChar w:fldCharType="end"/>
            </w:r>
          </w:hyperlink>
        </w:p>
        <w:p w14:paraId="102A1A55" w14:textId="11E4391C"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45" w:history="1">
            <w:r w:rsidRPr="007F12B7">
              <w:rPr>
                <w:rStyle w:val="Hipervnculo"/>
                <w:rFonts w:asciiTheme="majorHAnsi" w:hAnsiTheme="majorHAnsi" w:cstheme="majorHAnsi"/>
                <w:noProof/>
              </w:rPr>
              <w:t>5.2 Impacto Previsional Proyectado</w:t>
            </w:r>
            <w:r>
              <w:rPr>
                <w:noProof/>
                <w:webHidden/>
              </w:rPr>
              <w:tab/>
            </w:r>
            <w:r>
              <w:rPr>
                <w:noProof/>
                <w:webHidden/>
              </w:rPr>
              <w:fldChar w:fldCharType="begin"/>
            </w:r>
            <w:r>
              <w:rPr>
                <w:noProof/>
                <w:webHidden/>
              </w:rPr>
              <w:instrText xml:space="preserve"> PAGEREF _Toc228400945 \h </w:instrText>
            </w:r>
            <w:r>
              <w:rPr>
                <w:noProof/>
                <w:webHidden/>
              </w:rPr>
            </w:r>
            <w:r>
              <w:rPr>
                <w:noProof/>
                <w:webHidden/>
              </w:rPr>
              <w:fldChar w:fldCharType="separate"/>
            </w:r>
            <w:r>
              <w:rPr>
                <w:noProof/>
                <w:webHidden/>
              </w:rPr>
              <w:t>19</w:t>
            </w:r>
            <w:r>
              <w:rPr>
                <w:noProof/>
                <w:webHidden/>
              </w:rPr>
              <w:fldChar w:fldCharType="end"/>
            </w:r>
          </w:hyperlink>
        </w:p>
        <w:p w14:paraId="3A40DACA" w14:textId="04197DA5"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46" w:history="1">
            <w:r w:rsidRPr="007F12B7">
              <w:rPr>
                <w:rStyle w:val="Hipervnculo"/>
                <w:rFonts w:asciiTheme="majorHAnsi" w:hAnsiTheme="majorHAnsi" w:cstheme="majorHAnsi"/>
                <w:noProof/>
              </w:rPr>
              <w:t>5.2.1 Efecto sobre cotizaciones adicionales</w:t>
            </w:r>
            <w:r>
              <w:rPr>
                <w:noProof/>
                <w:webHidden/>
              </w:rPr>
              <w:tab/>
            </w:r>
            <w:r>
              <w:rPr>
                <w:noProof/>
                <w:webHidden/>
              </w:rPr>
              <w:fldChar w:fldCharType="begin"/>
            </w:r>
            <w:r>
              <w:rPr>
                <w:noProof/>
                <w:webHidden/>
              </w:rPr>
              <w:instrText xml:space="preserve"> PAGEREF _Toc228400946 \h </w:instrText>
            </w:r>
            <w:r>
              <w:rPr>
                <w:noProof/>
                <w:webHidden/>
              </w:rPr>
            </w:r>
            <w:r>
              <w:rPr>
                <w:noProof/>
                <w:webHidden/>
              </w:rPr>
              <w:fldChar w:fldCharType="separate"/>
            </w:r>
            <w:r>
              <w:rPr>
                <w:noProof/>
                <w:webHidden/>
              </w:rPr>
              <w:t>19</w:t>
            </w:r>
            <w:r>
              <w:rPr>
                <w:noProof/>
                <w:webHidden/>
              </w:rPr>
              <w:fldChar w:fldCharType="end"/>
            </w:r>
          </w:hyperlink>
        </w:p>
        <w:p w14:paraId="65163BCA" w14:textId="509D2AA6"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47" w:history="1">
            <w:r w:rsidRPr="007F12B7">
              <w:rPr>
                <w:rStyle w:val="Hipervnculo"/>
                <w:rFonts w:asciiTheme="majorHAnsi" w:hAnsiTheme="majorHAnsi" w:cstheme="majorHAnsi"/>
                <w:noProof/>
              </w:rPr>
              <w:t>5.2.2 Efecto sobre la edad de pensión — Art. 68 bis D.L. 3.500 y Art. 2° Ley 19.404</w:t>
            </w:r>
            <w:r>
              <w:rPr>
                <w:noProof/>
                <w:webHidden/>
              </w:rPr>
              <w:tab/>
            </w:r>
            <w:r>
              <w:rPr>
                <w:noProof/>
                <w:webHidden/>
              </w:rPr>
              <w:fldChar w:fldCharType="begin"/>
            </w:r>
            <w:r>
              <w:rPr>
                <w:noProof/>
                <w:webHidden/>
              </w:rPr>
              <w:instrText xml:space="preserve"> PAGEREF _Toc228400947 \h </w:instrText>
            </w:r>
            <w:r>
              <w:rPr>
                <w:noProof/>
                <w:webHidden/>
              </w:rPr>
            </w:r>
            <w:r>
              <w:rPr>
                <w:noProof/>
                <w:webHidden/>
              </w:rPr>
              <w:fldChar w:fldCharType="separate"/>
            </w:r>
            <w:r>
              <w:rPr>
                <w:noProof/>
                <w:webHidden/>
              </w:rPr>
              <w:t>20</w:t>
            </w:r>
            <w:r>
              <w:rPr>
                <w:noProof/>
                <w:webHidden/>
              </w:rPr>
              <w:fldChar w:fldCharType="end"/>
            </w:r>
          </w:hyperlink>
        </w:p>
        <w:p w14:paraId="2100AE5E" w14:textId="3AF3274E"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48" w:history="1">
            <w:r w:rsidRPr="007F12B7">
              <w:rPr>
                <w:rStyle w:val="Hipervnculo"/>
                <w:rFonts w:asciiTheme="majorHAnsi" w:hAnsiTheme="majorHAnsi" w:cstheme="majorHAnsi"/>
                <w:noProof/>
              </w:rPr>
              <w:t>5.3 Eficiencia Operativa: Tiempo Administrativo y Litigios</w:t>
            </w:r>
            <w:r>
              <w:rPr>
                <w:noProof/>
                <w:webHidden/>
              </w:rPr>
              <w:tab/>
            </w:r>
            <w:r>
              <w:rPr>
                <w:noProof/>
                <w:webHidden/>
              </w:rPr>
              <w:fldChar w:fldCharType="begin"/>
            </w:r>
            <w:r>
              <w:rPr>
                <w:noProof/>
                <w:webHidden/>
              </w:rPr>
              <w:instrText xml:space="preserve"> PAGEREF _Toc228400948 \h </w:instrText>
            </w:r>
            <w:r>
              <w:rPr>
                <w:noProof/>
                <w:webHidden/>
              </w:rPr>
            </w:r>
            <w:r>
              <w:rPr>
                <w:noProof/>
                <w:webHidden/>
              </w:rPr>
              <w:fldChar w:fldCharType="separate"/>
            </w:r>
            <w:r>
              <w:rPr>
                <w:noProof/>
                <w:webHidden/>
              </w:rPr>
              <w:t>21</w:t>
            </w:r>
            <w:r>
              <w:rPr>
                <w:noProof/>
                <w:webHidden/>
              </w:rPr>
              <w:fldChar w:fldCharType="end"/>
            </w:r>
          </w:hyperlink>
        </w:p>
        <w:p w14:paraId="322E1AE6" w14:textId="7A377329"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49" w:history="1">
            <w:r w:rsidRPr="007F12B7">
              <w:rPr>
                <w:rStyle w:val="Hipervnculo"/>
                <w:rFonts w:asciiTheme="majorHAnsi" w:hAnsiTheme="majorHAnsi" w:cstheme="majorHAnsi"/>
                <w:noProof/>
              </w:rPr>
              <w:t>5.4 Derecho Comparado: Sistemas Automáticos de Calificación por Sector</w:t>
            </w:r>
            <w:r>
              <w:rPr>
                <w:noProof/>
                <w:webHidden/>
              </w:rPr>
              <w:tab/>
            </w:r>
            <w:r>
              <w:rPr>
                <w:noProof/>
                <w:webHidden/>
              </w:rPr>
              <w:fldChar w:fldCharType="begin"/>
            </w:r>
            <w:r>
              <w:rPr>
                <w:noProof/>
                <w:webHidden/>
              </w:rPr>
              <w:instrText xml:space="preserve"> PAGEREF _Toc228400949 \h </w:instrText>
            </w:r>
            <w:r>
              <w:rPr>
                <w:noProof/>
                <w:webHidden/>
              </w:rPr>
            </w:r>
            <w:r>
              <w:rPr>
                <w:noProof/>
                <w:webHidden/>
              </w:rPr>
              <w:fldChar w:fldCharType="separate"/>
            </w:r>
            <w:r>
              <w:rPr>
                <w:noProof/>
                <w:webHidden/>
              </w:rPr>
              <w:t>22</w:t>
            </w:r>
            <w:r>
              <w:rPr>
                <w:noProof/>
                <w:webHidden/>
              </w:rPr>
              <w:fldChar w:fldCharType="end"/>
            </w:r>
          </w:hyperlink>
        </w:p>
        <w:p w14:paraId="2DCABFB9" w14:textId="77333805"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50" w:history="1">
            <w:r w:rsidRPr="007F12B7">
              <w:rPr>
                <w:rStyle w:val="Hipervnculo"/>
                <w:rFonts w:asciiTheme="majorHAnsi" w:hAnsiTheme="majorHAnsi" w:cstheme="majorHAnsi"/>
                <w:noProof/>
              </w:rPr>
              <w:t>5.5 Evidencia Científica de las Condiciones Habilitantes</w:t>
            </w:r>
            <w:r>
              <w:rPr>
                <w:noProof/>
                <w:webHidden/>
              </w:rPr>
              <w:tab/>
            </w:r>
            <w:r>
              <w:rPr>
                <w:noProof/>
                <w:webHidden/>
              </w:rPr>
              <w:fldChar w:fldCharType="begin"/>
            </w:r>
            <w:r>
              <w:rPr>
                <w:noProof/>
                <w:webHidden/>
              </w:rPr>
              <w:instrText xml:space="preserve"> PAGEREF _Toc228400950 \h </w:instrText>
            </w:r>
            <w:r>
              <w:rPr>
                <w:noProof/>
                <w:webHidden/>
              </w:rPr>
            </w:r>
            <w:r>
              <w:rPr>
                <w:noProof/>
                <w:webHidden/>
              </w:rPr>
              <w:fldChar w:fldCharType="separate"/>
            </w:r>
            <w:r>
              <w:rPr>
                <w:noProof/>
                <w:webHidden/>
              </w:rPr>
              <w:t>23</w:t>
            </w:r>
            <w:r>
              <w:rPr>
                <w:noProof/>
                <w:webHidden/>
              </w:rPr>
              <w:fldChar w:fldCharType="end"/>
            </w:r>
          </w:hyperlink>
        </w:p>
        <w:p w14:paraId="5629F1B3" w14:textId="29632642" w:rsidR="00B42FAB" w:rsidRDefault="00B42FAB">
          <w:pPr>
            <w:pStyle w:val="TDC1"/>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51" w:history="1">
            <w:r w:rsidRPr="007F12B7">
              <w:rPr>
                <w:rStyle w:val="Hipervnculo"/>
                <w:rFonts w:asciiTheme="majorHAnsi" w:hAnsiTheme="majorHAnsi" w:cstheme="majorHAnsi"/>
                <w:noProof/>
              </w:rPr>
              <w:t>VI. CONSIDERACIONES DE VIABILIDAD POLÍTICA Y ADMINISTRATIVA</w:t>
            </w:r>
            <w:r>
              <w:rPr>
                <w:noProof/>
                <w:webHidden/>
              </w:rPr>
              <w:tab/>
            </w:r>
            <w:r>
              <w:rPr>
                <w:noProof/>
                <w:webHidden/>
              </w:rPr>
              <w:fldChar w:fldCharType="begin"/>
            </w:r>
            <w:r>
              <w:rPr>
                <w:noProof/>
                <w:webHidden/>
              </w:rPr>
              <w:instrText xml:space="preserve"> PAGEREF _Toc228400951 \h </w:instrText>
            </w:r>
            <w:r>
              <w:rPr>
                <w:noProof/>
                <w:webHidden/>
              </w:rPr>
            </w:r>
            <w:r>
              <w:rPr>
                <w:noProof/>
                <w:webHidden/>
              </w:rPr>
              <w:fldChar w:fldCharType="separate"/>
            </w:r>
            <w:r>
              <w:rPr>
                <w:noProof/>
                <w:webHidden/>
              </w:rPr>
              <w:t>25</w:t>
            </w:r>
            <w:r>
              <w:rPr>
                <w:noProof/>
                <w:webHidden/>
              </w:rPr>
              <w:fldChar w:fldCharType="end"/>
            </w:r>
          </w:hyperlink>
        </w:p>
        <w:p w14:paraId="222A4389" w14:textId="5A6187C5"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52" w:history="1">
            <w:r w:rsidRPr="007F12B7">
              <w:rPr>
                <w:rStyle w:val="Hipervnculo"/>
                <w:rFonts w:asciiTheme="majorHAnsi" w:hAnsiTheme="majorHAnsi" w:cstheme="majorHAnsi"/>
                <w:noProof/>
              </w:rPr>
              <w:t>6.1 Objeciones Previsibles y Respuestas Técnicas</w:t>
            </w:r>
            <w:r>
              <w:rPr>
                <w:noProof/>
                <w:webHidden/>
              </w:rPr>
              <w:tab/>
            </w:r>
            <w:r>
              <w:rPr>
                <w:noProof/>
                <w:webHidden/>
              </w:rPr>
              <w:fldChar w:fldCharType="begin"/>
            </w:r>
            <w:r>
              <w:rPr>
                <w:noProof/>
                <w:webHidden/>
              </w:rPr>
              <w:instrText xml:space="preserve"> PAGEREF _Toc228400952 \h </w:instrText>
            </w:r>
            <w:r>
              <w:rPr>
                <w:noProof/>
                <w:webHidden/>
              </w:rPr>
            </w:r>
            <w:r>
              <w:rPr>
                <w:noProof/>
                <w:webHidden/>
              </w:rPr>
              <w:fldChar w:fldCharType="separate"/>
            </w:r>
            <w:r>
              <w:rPr>
                <w:noProof/>
                <w:webHidden/>
              </w:rPr>
              <w:t>25</w:t>
            </w:r>
            <w:r>
              <w:rPr>
                <w:noProof/>
                <w:webHidden/>
              </w:rPr>
              <w:fldChar w:fldCharType="end"/>
            </w:r>
          </w:hyperlink>
        </w:p>
        <w:p w14:paraId="4A6D9AA3" w14:textId="746E62BA"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53" w:history="1">
            <w:r w:rsidRPr="007F12B7">
              <w:rPr>
                <w:rStyle w:val="Hipervnculo"/>
                <w:rFonts w:ascii="Calibri" w:hAnsi="Calibri" w:cs="Calibri"/>
                <w:noProof/>
              </w:rPr>
              <w:t>CEN: Comisión Ergonómica Nacional</w:t>
            </w:r>
            <w:r>
              <w:rPr>
                <w:noProof/>
                <w:webHidden/>
              </w:rPr>
              <w:tab/>
            </w:r>
            <w:r>
              <w:rPr>
                <w:noProof/>
                <w:webHidden/>
              </w:rPr>
              <w:fldChar w:fldCharType="begin"/>
            </w:r>
            <w:r>
              <w:rPr>
                <w:noProof/>
                <w:webHidden/>
              </w:rPr>
              <w:instrText xml:space="preserve"> PAGEREF _Toc228400953 \h </w:instrText>
            </w:r>
            <w:r>
              <w:rPr>
                <w:noProof/>
                <w:webHidden/>
              </w:rPr>
            </w:r>
            <w:r>
              <w:rPr>
                <w:noProof/>
                <w:webHidden/>
              </w:rPr>
              <w:fldChar w:fldCharType="separate"/>
            </w:r>
            <w:r>
              <w:rPr>
                <w:noProof/>
                <w:webHidden/>
              </w:rPr>
              <w:t>25</w:t>
            </w:r>
            <w:r>
              <w:rPr>
                <w:noProof/>
                <w:webHidden/>
              </w:rPr>
              <w:fldChar w:fldCharType="end"/>
            </w:r>
          </w:hyperlink>
        </w:p>
        <w:p w14:paraId="69D23E12" w14:textId="0DB2DA41"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54" w:history="1">
            <w:r w:rsidRPr="007F12B7">
              <w:rPr>
                <w:rStyle w:val="Hipervnculo"/>
                <w:rFonts w:ascii="Calibri" w:hAnsi="Calibri" w:cs="Calibri"/>
                <w:noProof/>
              </w:rPr>
              <w:t>Organismo técnico autónomo con 30 años de expertise. Percibe la automatización como una amenaza a su legitimidad institucional y a la calidad técnica del sistema.</w:t>
            </w:r>
            <w:r>
              <w:rPr>
                <w:noProof/>
                <w:webHidden/>
              </w:rPr>
              <w:tab/>
            </w:r>
            <w:r>
              <w:rPr>
                <w:noProof/>
                <w:webHidden/>
              </w:rPr>
              <w:fldChar w:fldCharType="begin"/>
            </w:r>
            <w:r>
              <w:rPr>
                <w:noProof/>
                <w:webHidden/>
              </w:rPr>
              <w:instrText xml:space="preserve"> PAGEREF _Toc228400954 \h </w:instrText>
            </w:r>
            <w:r>
              <w:rPr>
                <w:noProof/>
                <w:webHidden/>
              </w:rPr>
            </w:r>
            <w:r>
              <w:rPr>
                <w:noProof/>
                <w:webHidden/>
              </w:rPr>
              <w:fldChar w:fldCharType="separate"/>
            </w:r>
            <w:r>
              <w:rPr>
                <w:noProof/>
                <w:webHidden/>
              </w:rPr>
              <w:t>25</w:t>
            </w:r>
            <w:r>
              <w:rPr>
                <w:noProof/>
                <w:webHidden/>
              </w:rPr>
              <w:fldChar w:fldCharType="end"/>
            </w:r>
          </w:hyperlink>
        </w:p>
        <w:p w14:paraId="41A43718" w14:textId="3998D850"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55" w:history="1">
            <w:r w:rsidRPr="007F12B7">
              <w:rPr>
                <w:rStyle w:val="Hipervnculo"/>
                <w:rFonts w:ascii="Calibri" w:hAnsi="Calibri" w:cs="Calibri"/>
                <w:noProof/>
              </w:rPr>
              <w:t>Superintendencia de Pensiones:</w:t>
            </w:r>
            <w:r>
              <w:rPr>
                <w:noProof/>
                <w:webHidden/>
              </w:rPr>
              <w:tab/>
            </w:r>
            <w:r>
              <w:rPr>
                <w:noProof/>
                <w:webHidden/>
              </w:rPr>
              <w:fldChar w:fldCharType="begin"/>
            </w:r>
            <w:r>
              <w:rPr>
                <w:noProof/>
                <w:webHidden/>
              </w:rPr>
              <w:instrText xml:space="preserve"> PAGEREF _Toc228400955 \h </w:instrText>
            </w:r>
            <w:r>
              <w:rPr>
                <w:noProof/>
                <w:webHidden/>
              </w:rPr>
            </w:r>
            <w:r>
              <w:rPr>
                <w:noProof/>
                <w:webHidden/>
              </w:rPr>
              <w:fldChar w:fldCharType="separate"/>
            </w:r>
            <w:r>
              <w:rPr>
                <w:noProof/>
                <w:webHidden/>
              </w:rPr>
              <w:t>26</w:t>
            </w:r>
            <w:r>
              <w:rPr>
                <w:noProof/>
                <w:webHidden/>
              </w:rPr>
              <w:fldChar w:fldCharType="end"/>
            </w:r>
          </w:hyperlink>
        </w:p>
        <w:p w14:paraId="53E2658A" w14:textId="59E8F74E"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56" w:history="1">
            <w:r w:rsidRPr="007F12B7">
              <w:rPr>
                <w:rStyle w:val="Hipervnculo"/>
                <w:rFonts w:ascii="Calibri" w:hAnsi="Calibri" w:cs="Calibri"/>
                <w:noProof/>
              </w:rPr>
              <w:t>Ente fiscalizador con supervigilancia sobre la CEN. Sus preocupaciones son principalmente de tipo operacional, presupuestario y de responsabilidad legal ante el sistema previsional.</w:t>
            </w:r>
            <w:r>
              <w:rPr>
                <w:noProof/>
                <w:webHidden/>
              </w:rPr>
              <w:tab/>
            </w:r>
            <w:r>
              <w:rPr>
                <w:noProof/>
                <w:webHidden/>
              </w:rPr>
              <w:fldChar w:fldCharType="begin"/>
            </w:r>
            <w:r>
              <w:rPr>
                <w:noProof/>
                <w:webHidden/>
              </w:rPr>
              <w:instrText xml:space="preserve"> PAGEREF _Toc228400956 \h </w:instrText>
            </w:r>
            <w:r>
              <w:rPr>
                <w:noProof/>
                <w:webHidden/>
              </w:rPr>
            </w:r>
            <w:r>
              <w:rPr>
                <w:noProof/>
                <w:webHidden/>
              </w:rPr>
              <w:fldChar w:fldCharType="separate"/>
            </w:r>
            <w:r>
              <w:rPr>
                <w:noProof/>
                <w:webHidden/>
              </w:rPr>
              <w:t>26</w:t>
            </w:r>
            <w:r>
              <w:rPr>
                <w:noProof/>
                <w:webHidden/>
              </w:rPr>
              <w:fldChar w:fldCharType="end"/>
            </w:r>
          </w:hyperlink>
        </w:p>
        <w:p w14:paraId="2F5E4676" w14:textId="7ACC5254"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57" w:history="1">
            <w:r w:rsidRPr="007F12B7">
              <w:rPr>
                <w:rStyle w:val="Hipervnculo"/>
                <w:rFonts w:ascii="Calibri" w:hAnsi="Calibri" w:cs="Calibri"/>
                <w:noProof/>
              </w:rPr>
              <w:t>Resistencia: media — preocupación operativa y fiscal Comisión Ergonómica Nacional (CEN)</w:t>
            </w:r>
            <w:r>
              <w:rPr>
                <w:noProof/>
                <w:webHidden/>
              </w:rPr>
              <w:tab/>
            </w:r>
            <w:r>
              <w:rPr>
                <w:noProof/>
                <w:webHidden/>
              </w:rPr>
              <w:fldChar w:fldCharType="begin"/>
            </w:r>
            <w:r>
              <w:rPr>
                <w:noProof/>
                <w:webHidden/>
              </w:rPr>
              <w:instrText xml:space="preserve"> PAGEREF _Toc228400957 \h </w:instrText>
            </w:r>
            <w:r>
              <w:rPr>
                <w:noProof/>
                <w:webHidden/>
              </w:rPr>
            </w:r>
            <w:r>
              <w:rPr>
                <w:noProof/>
                <w:webHidden/>
              </w:rPr>
              <w:fldChar w:fldCharType="separate"/>
            </w:r>
            <w:r>
              <w:rPr>
                <w:noProof/>
                <w:webHidden/>
              </w:rPr>
              <w:t>26</w:t>
            </w:r>
            <w:r>
              <w:rPr>
                <w:noProof/>
                <w:webHidden/>
              </w:rPr>
              <w:fldChar w:fldCharType="end"/>
            </w:r>
          </w:hyperlink>
        </w:p>
        <w:p w14:paraId="4EC1E2DA" w14:textId="31E1D6AE"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58" w:history="1">
            <w:r w:rsidRPr="007F12B7">
              <w:rPr>
                <w:rStyle w:val="Hipervnculo"/>
                <w:rFonts w:ascii="Calibri" w:hAnsi="Calibri" w:cs="Calibri"/>
                <w:noProof/>
              </w:rPr>
              <w:t>Empleadores — SONAMI y Consejo Minero:</w:t>
            </w:r>
            <w:r>
              <w:rPr>
                <w:noProof/>
                <w:webHidden/>
              </w:rPr>
              <w:tab/>
            </w:r>
            <w:r>
              <w:rPr>
                <w:noProof/>
                <w:webHidden/>
              </w:rPr>
              <w:fldChar w:fldCharType="begin"/>
            </w:r>
            <w:r>
              <w:rPr>
                <w:noProof/>
                <w:webHidden/>
              </w:rPr>
              <w:instrText xml:space="preserve"> PAGEREF _Toc228400958 \h </w:instrText>
            </w:r>
            <w:r>
              <w:rPr>
                <w:noProof/>
                <w:webHidden/>
              </w:rPr>
            </w:r>
            <w:r>
              <w:rPr>
                <w:noProof/>
                <w:webHidden/>
              </w:rPr>
              <w:fldChar w:fldCharType="separate"/>
            </w:r>
            <w:r>
              <w:rPr>
                <w:noProof/>
                <w:webHidden/>
              </w:rPr>
              <w:t>27</w:t>
            </w:r>
            <w:r>
              <w:rPr>
                <w:noProof/>
                <w:webHidden/>
              </w:rPr>
              <w:fldChar w:fldCharType="end"/>
            </w:r>
          </w:hyperlink>
        </w:p>
        <w:p w14:paraId="7F2891B2" w14:textId="4BC764E4"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59" w:history="1">
            <w:r w:rsidRPr="007F12B7">
              <w:rPr>
                <w:rStyle w:val="Hipervnculo"/>
                <w:rFonts w:ascii="Calibri" w:hAnsi="Calibri" w:cs="Calibri"/>
                <w:noProof/>
              </w:rPr>
              <w:t>Representan tanto a la gran minería (cobre, litio, oro) como a la mediana y pequeña. Sus intereses divergen en algunos puntos: la gran minería teme la retroactividad; la pequeña y mediana, el costo de cumplimiento.</w:t>
            </w:r>
            <w:r>
              <w:rPr>
                <w:noProof/>
                <w:webHidden/>
              </w:rPr>
              <w:tab/>
            </w:r>
            <w:r>
              <w:rPr>
                <w:noProof/>
                <w:webHidden/>
              </w:rPr>
              <w:fldChar w:fldCharType="begin"/>
            </w:r>
            <w:r>
              <w:rPr>
                <w:noProof/>
                <w:webHidden/>
              </w:rPr>
              <w:instrText xml:space="preserve"> PAGEREF _Toc228400959 \h </w:instrText>
            </w:r>
            <w:r>
              <w:rPr>
                <w:noProof/>
                <w:webHidden/>
              </w:rPr>
            </w:r>
            <w:r>
              <w:rPr>
                <w:noProof/>
                <w:webHidden/>
              </w:rPr>
              <w:fldChar w:fldCharType="separate"/>
            </w:r>
            <w:r>
              <w:rPr>
                <w:noProof/>
                <w:webHidden/>
              </w:rPr>
              <w:t>27</w:t>
            </w:r>
            <w:r>
              <w:rPr>
                <w:noProof/>
                <w:webHidden/>
              </w:rPr>
              <w:fldChar w:fldCharType="end"/>
            </w:r>
          </w:hyperlink>
        </w:p>
        <w:p w14:paraId="526A44F6" w14:textId="451D9656"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60" w:history="1">
            <w:r w:rsidRPr="007F12B7">
              <w:rPr>
                <w:rStyle w:val="Hipervnculo"/>
                <w:rFonts w:ascii="Calibri" w:hAnsi="Calibri" w:cs="Calibri"/>
                <w:noProof/>
              </w:rPr>
              <w:t>Resistencia: media-alta — costo económico directo e incertidumbre jurídica</w:t>
            </w:r>
            <w:r>
              <w:rPr>
                <w:noProof/>
                <w:webHidden/>
              </w:rPr>
              <w:tab/>
            </w:r>
            <w:r>
              <w:rPr>
                <w:noProof/>
                <w:webHidden/>
              </w:rPr>
              <w:fldChar w:fldCharType="begin"/>
            </w:r>
            <w:r>
              <w:rPr>
                <w:noProof/>
                <w:webHidden/>
              </w:rPr>
              <w:instrText xml:space="preserve"> PAGEREF _Toc228400960 \h </w:instrText>
            </w:r>
            <w:r>
              <w:rPr>
                <w:noProof/>
                <w:webHidden/>
              </w:rPr>
            </w:r>
            <w:r>
              <w:rPr>
                <w:noProof/>
                <w:webHidden/>
              </w:rPr>
              <w:fldChar w:fldCharType="separate"/>
            </w:r>
            <w:r>
              <w:rPr>
                <w:noProof/>
                <w:webHidden/>
              </w:rPr>
              <w:t>27</w:t>
            </w:r>
            <w:r>
              <w:rPr>
                <w:noProof/>
                <w:webHidden/>
              </w:rPr>
              <w:fldChar w:fldCharType="end"/>
            </w:r>
          </w:hyperlink>
        </w:p>
        <w:p w14:paraId="51E46F67" w14:textId="4DC92B45"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61" w:history="1">
            <w:r w:rsidRPr="007F12B7">
              <w:rPr>
                <w:rStyle w:val="Hipervnculo"/>
                <w:rFonts w:ascii="Calibri" w:hAnsi="Calibri" w:cs="Calibri"/>
                <w:noProof/>
              </w:rPr>
              <w:t>Trabajadores — CUT, Sindicatos y Federaciones Mineras:</w:t>
            </w:r>
            <w:r>
              <w:rPr>
                <w:noProof/>
                <w:webHidden/>
              </w:rPr>
              <w:tab/>
            </w:r>
            <w:r>
              <w:rPr>
                <w:noProof/>
                <w:webHidden/>
              </w:rPr>
              <w:fldChar w:fldCharType="begin"/>
            </w:r>
            <w:r>
              <w:rPr>
                <w:noProof/>
                <w:webHidden/>
              </w:rPr>
              <w:instrText xml:space="preserve"> PAGEREF _Toc228400961 \h </w:instrText>
            </w:r>
            <w:r>
              <w:rPr>
                <w:noProof/>
                <w:webHidden/>
              </w:rPr>
            </w:r>
            <w:r>
              <w:rPr>
                <w:noProof/>
                <w:webHidden/>
              </w:rPr>
              <w:fldChar w:fldCharType="separate"/>
            </w:r>
            <w:r>
              <w:rPr>
                <w:noProof/>
                <w:webHidden/>
              </w:rPr>
              <w:t>28</w:t>
            </w:r>
            <w:r>
              <w:rPr>
                <w:noProof/>
                <w:webHidden/>
              </w:rPr>
              <w:fldChar w:fldCharType="end"/>
            </w:r>
          </w:hyperlink>
        </w:p>
        <w:p w14:paraId="43929AAF" w14:textId="13844564"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62" w:history="1">
            <w:r w:rsidRPr="007F12B7">
              <w:rPr>
                <w:rStyle w:val="Hipervnculo"/>
                <w:rFonts w:ascii="Calibri" w:hAnsi="Calibri" w:cs="Calibri"/>
                <w:noProof/>
              </w:rPr>
              <w:t>En principio favorables a la reforma, pero con desconfianza histórica hacia mecanismos patronales de autodeclaración y ante la posibilidad de que la automatización sea usada para reducir derechos.</w:t>
            </w:r>
            <w:r>
              <w:rPr>
                <w:noProof/>
                <w:webHidden/>
              </w:rPr>
              <w:tab/>
            </w:r>
            <w:r>
              <w:rPr>
                <w:noProof/>
                <w:webHidden/>
              </w:rPr>
              <w:fldChar w:fldCharType="begin"/>
            </w:r>
            <w:r>
              <w:rPr>
                <w:noProof/>
                <w:webHidden/>
              </w:rPr>
              <w:instrText xml:space="preserve"> PAGEREF _Toc228400962 \h </w:instrText>
            </w:r>
            <w:r>
              <w:rPr>
                <w:noProof/>
                <w:webHidden/>
              </w:rPr>
            </w:r>
            <w:r>
              <w:rPr>
                <w:noProof/>
                <w:webHidden/>
              </w:rPr>
              <w:fldChar w:fldCharType="separate"/>
            </w:r>
            <w:r>
              <w:rPr>
                <w:noProof/>
                <w:webHidden/>
              </w:rPr>
              <w:t>28</w:t>
            </w:r>
            <w:r>
              <w:rPr>
                <w:noProof/>
                <w:webHidden/>
              </w:rPr>
              <w:fldChar w:fldCharType="end"/>
            </w:r>
          </w:hyperlink>
        </w:p>
        <w:p w14:paraId="6A45045D" w14:textId="0791B2E5" w:rsidR="00B42FAB" w:rsidRDefault="00B42FAB">
          <w:pPr>
            <w:pStyle w:val="TDC3"/>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63" w:history="1">
            <w:r w:rsidRPr="007F12B7">
              <w:rPr>
                <w:rStyle w:val="Hipervnculo"/>
                <w:rFonts w:ascii="Calibri" w:hAnsi="Calibri" w:cs="Calibri"/>
                <w:noProof/>
              </w:rPr>
              <w:t>Resistencia: baja-media — desconfianza procedimental, no oposición de fondo:</w:t>
            </w:r>
            <w:r>
              <w:rPr>
                <w:noProof/>
                <w:webHidden/>
              </w:rPr>
              <w:tab/>
            </w:r>
            <w:r>
              <w:rPr>
                <w:noProof/>
                <w:webHidden/>
              </w:rPr>
              <w:fldChar w:fldCharType="begin"/>
            </w:r>
            <w:r>
              <w:rPr>
                <w:noProof/>
                <w:webHidden/>
              </w:rPr>
              <w:instrText xml:space="preserve"> PAGEREF _Toc228400963 \h </w:instrText>
            </w:r>
            <w:r>
              <w:rPr>
                <w:noProof/>
                <w:webHidden/>
              </w:rPr>
            </w:r>
            <w:r>
              <w:rPr>
                <w:noProof/>
                <w:webHidden/>
              </w:rPr>
              <w:fldChar w:fldCharType="separate"/>
            </w:r>
            <w:r>
              <w:rPr>
                <w:noProof/>
                <w:webHidden/>
              </w:rPr>
              <w:t>28</w:t>
            </w:r>
            <w:r>
              <w:rPr>
                <w:noProof/>
                <w:webHidden/>
              </w:rPr>
              <w:fldChar w:fldCharType="end"/>
            </w:r>
          </w:hyperlink>
        </w:p>
        <w:p w14:paraId="74C546FD" w14:textId="47DDAE0F"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64" w:history="1">
            <w:r w:rsidRPr="007F12B7">
              <w:rPr>
                <w:rStyle w:val="Hipervnculo"/>
                <w:rFonts w:ascii="Calibri" w:hAnsi="Calibri" w:cs="Calibri"/>
                <w:noProof/>
              </w:rPr>
              <w:t>Concesiones mínimas por actor para viabilizar la reforma</w:t>
            </w:r>
            <w:r>
              <w:rPr>
                <w:noProof/>
                <w:webHidden/>
              </w:rPr>
              <w:tab/>
            </w:r>
            <w:r>
              <w:rPr>
                <w:noProof/>
                <w:webHidden/>
              </w:rPr>
              <w:fldChar w:fldCharType="begin"/>
            </w:r>
            <w:r>
              <w:rPr>
                <w:noProof/>
                <w:webHidden/>
              </w:rPr>
              <w:instrText xml:space="preserve"> PAGEREF _Toc228400964 \h </w:instrText>
            </w:r>
            <w:r>
              <w:rPr>
                <w:noProof/>
                <w:webHidden/>
              </w:rPr>
            </w:r>
            <w:r>
              <w:rPr>
                <w:noProof/>
                <w:webHidden/>
              </w:rPr>
              <w:fldChar w:fldCharType="separate"/>
            </w:r>
            <w:r>
              <w:rPr>
                <w:noProof/>
                <w:webHidden/>
              </w:rPr>
              <w:t>29</w:t>
            </w:r>
            <w:r>
              <w:rPr>
                <w:noProof/>
                <w:webHidden/>
              </w:rPr>
              <w:fldChar w:fldCharType="end"/>
            </w:r>
          </w:hyperlink>
        </w:p>
        <w:p w14:paraId="4F4144A1" w14:textId="1394752A"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65" w:history="1">
            <w:r w:rsidRPr="007F12B7">
              <w:rPr>
                <w:rStyle w:val="Hipervnculo"/>
                <w:rFonts w:ascii="Calibri" w:hAnsi="Calibri" w:cs="Calibri"/>
                <w:noProof/>
              </w:rPr>
              <w:t>Secuencia recomendada de negociación</w:t>
            </w:r>
            <w:r>
              <w:rPr>
                <w:noProof/>
                <w:webHidden/>
              </w:rPr>
              <w:tab/>
            </w:r>
            <w:r>
              <w:rPr>
                <w:noProof/>
                <w:webHidden/>
              </w:rPr>
              <w:fldChar w:fldCharType="begin"/>
            </w:r>
            <w:r>
              <w:rPr>
                <w:noProof/>
                <w:webHidden/>
              </w:rPr>
              <w:instrText xml:space="preserve"> PAGEREF _Toc228400965 \h </w:instrText>
            </w:r>
            <w:r>
              <w:rPr>
                <w:noProof/>
                <w:webHidden/>
              </w:rPr>
            </w:r>
            <w:r>
              <w:rPr>
                <w:noProof/>
                <w:webHidden/>
              </w:rPr>
              <w:fldChar w:fldCharType="separate"/>
            </w:r>
            <w:r>
              <w:rPr>
                <w:noProof/>
                <w:webHidden/>
              </w:rPr>
              <w:t>30</w:t>
            </w:r>
            <w:r>
              <w:rPr>
                <w:noProof/>
                <w:webHidden/>
              </w:rPr>
              <w:fldChar w:fldCharType="end"/>
            </w:r>
          </w:hyperlink>
        </w:p>
        <w:p w14:paraId="15F2C3E9" w14:textId="092F8FE7"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66" w:history="1">
            <w:r w:rsidRPr="007F12B7">
              <w:rPr>
                <w:rStyle w:val="Hipervnculo"/>
                <w:rFonts w:asciiTheme="majorHAnsi" w:hAnsiTheme="majorHAnsi" w:cstheme="majorHAnsi"/>
                <w:noProof/>
              </w:rPr>
              <w:t>6.2 Mecanismos de Flexibilidad para Casos Excepcionales</w:t>
            </w:r>
            <w:r>
              <w:rPr>
                <w:noProof/>
                <w:webHidden/>
              </w:rPr>
              <w:tab/>
            </w:r>
            <w:r>
              <w:rPr>
                <w:noProof/>
                <w:webHidden/>
              </w:rPr>
              <w:fldChar w:fldCharType="begin"/>
            </w:r>
            <w:r>
              <w:rPr>
                <w:noProof/>
                <w:webHidden/>
              </w:rPr>
              <w:instrText xml:space="preserve"> PAGEREF _Toc228400966 \h </w:instrText>
            </w:r>
            <w:r>
              <w:rPr>
                <w:noProof/>
                <w:webHidden/>
              </w:rPr>
            </w:r>
            <w:r>
              <w:rPr>
                <w:noProof/>
                <w:webHidden/>
              </w:rPr>
              <w:fldChar w:fldCharType="separate"/>
            </w:r>
            <w:r>
              <w:rPr>
                <w:noProof/>
                <w:webHidden/>
              </w:rPr>
              <w:t>31</w:t>
            </w:r>
            <w:r>
              <w:rPr>
                <w:noProof/>
                <w:webHidden/>
              </w:rPr>
              <w:fldChar w:fldCharType="end"/>
            </w:r>
          </w:hyperlink>
        </w:p>
        <w:p w14:paraId="1D5278F2" w14:textId="0422F50B" w:rsidR="00B42FAB" w:rsidRDefault="00B42FAB">
          <w:pPr>
            <w:pStyle w:val="TDC1"/>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67" w:history="1">
            <w:r w:rsidRPr="007F12B7">
              <w:rPr>
                <w:rStyle w:val="Hipervnculo"/>
                <w:rFonts w:asciiTheme="majorHAnsi" w:hAnsiTheme="majorHAnsi" w:cstheme="majorHAnsi"/>
                <w:noProof/>
              </w:rPr>
              <w:t>VII. CONCLUSIONES Y RECOMENDACIONES</w:t>
            </w:r>
            <w:r>
              <w:rPr>
                <w:noProof/>
                <w:webHidden/>
              </w:rPr>
              <w:tab/>
            </w:r>
            <w:r>
              <w:rPr>
                <w:noProof/>
                <w:webHidden/>
              </w:rPr>
              <w:fldChar w:fldCharType="begin"/>
            </w:r>
            <w:r>
              <w:rPr>
                <w:noProof/>
                <w:webHidden/>
              </w:rPr>
              <w:instrText xml:space="preserve"> PAGEREF _Toc228400967 \h </w:instrText>
            </w:r>
            <w:r>
              <w:rPr>
                <w:noProof/>
                <w:webHidden/>
              </w:rPr>
            </w:r>
            <w:r>
              <w:rPr>
                <w:noProof/>
                <w:webHidden/>
              </w:rPr>
              <w:fldChar w:fldCharType="separate"/>
            </w:r>
            <w:r>
              <w:rPr>
                <w:noProof/>
                <w:webHidden/>
              </w:rPr>
              <w:t>32</w:t>
            </w:r>
            <w:r>
              <w:rPr>
                <w:noProof/>
                <w:webHidden/>
              </w:rPr>
              <w:fldChar w:fldCharType="end"/>
            </w:r>
          </w:hyperlink>
        </w:p>
        <w:p w14:paraId="7FF69156" w14:textId="6715D133"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68" w:history="1">
            <w:r w:rsidRPr="007F12B7">
              <w:rPr>
                <w:rStyle w:val="Hipervnculo"/>
                <w:rFonts w:asciiTheme="majorHAnsi" w:hAnsiTheme="majorHAnsi" w:cstheme="majorHAnsi"/>
                <w:noProof/>
              </w:rPr>
              <w:t>7.1 Síntesis del Problema y la Solución</w:t>
            </w:r>
            <w:r>
              <w:rPr>
                <w:noProof/>
                <w:webHidden/>
              </w:rPr>
              <w:tab/>
            </w:r>
            <w:r>
              <w:rPr>
                <w:noProof/>
                <w:webHidden/>
              </w:rPr>
              <w:fldChar w:fldCharType="begin"/>
            </w:r>
            <w:r>
              <w:rPr>
                <w:noProof/>
                <w:webHidden/>
              </w:rPr>
              <w:instrText xml:space="preserve"> PAGEREF _Toc228400968 \h </w:instrText>
            </w:r>
            <w:r>
              <w:rPr>
                <w:noProof/>
                <w:webHidden/>
              </w:rPr>
            </w:r>
            <w:r>
              <w:rPr>
                <w:noProof/>
                <w:webHidden/>
              </w:rPr>
              <w:fldChar w:fldCharType="separate"/>
            </w:r>
            <w:r>
              <w:rPr>
                <w:noProof/>
                <w:webHidden/>
              </w:rPr>
              <w:t>32</w:t>
            </w:r>
            <w:r>
              <w:rPr>
                <w:noProof/>
                <w:webHidden/>
              </w:rPr>
              <w:fldChar w:fldCharType="end"/>
            </w:r>
          </w:hyperlink>
        </w:p>
        <w:p w14:paraId="31327DA4" w14:textId="7C7FC3D3"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69" w:history="1">
            <w:r w:rsidRPr="007F12B7">
              <w:rPr>
                <w:rStyle w:val="Hipervnculo"/>
                <w:rFonts w:asciiTheme="majorHAnsi" w:hAnsiTheme="majorHAnsi" w:cstheme="majorHAnsi"/>
                <w:noProof/>
              </w:rPr>
              <w:t>7.2 Recomendaciones de Política</w:t>
            </w:r>
            <w:r>
              <w:rPr>
                <w:noProof/>
                <w:webHidden/>
              </w:rPr>
              <w:tab/>
            </w:r>
            <w:r>
              <w:rPr>
                <w:noProof/>
                <w:webHidden/>
              </w:rPr>
              <w:fldChar w:fldCharType="begin"/>
            </w:r>
            <w:r>
              <w:rPr>
                <w:noProof/>
                <w:webHidden/>
              </w:rPr>
              <w:instrText xml:space="preserve"> PAGEREF _Toc228400969 \h </w:instrText>
            </w:r>
            <w:r>
              <w:rPr>
                <w:noProof/>
                <w:webHidden/>
              </w:rPr>
            </w:r>
            <w:r>
              <w:rPr>
                <w:noProof/>
                <w:webHidden/>
              </w:rPr>
              <w:fldChar w:fldCharType="separate"/>
            </w:r>
            <w:r>
              <w:rPr>
                <w:noProof/>
                <w:webHidden/>
              </w:rPr>
              <w:t>32</w:t>
            </w:r>
            <w:r>
              <w:rPr>
                <w:noProof/>
                <w:webHidden/>
              </w:rPr>
              <w:fldChar w:fldCharType="end"/>
            </w:r>
          </w:hyperlink>
        </w:p>
        <w:p w14:paraId="790AB78B" w14:textId="2C180D8C" w:rsidR="00B42FAB" w:rsidRDefault="00B42FAB">
          <w:pPr>
            <w:pStyle w:val="TDC2"/>
            <w:tabs>
              <w:tab w:val="right" w:leader="dot" w:pos="9890"/>
            </w:tabs>
            <w:rPr>
              <w:rFonts w:asciiTheme="minorHAnsi" w:eastAsiaTheme="minorEastAsia" w:hAnsiTheme="minorHAnsi" w:cstheme="minorBidi"/>
              <w:noProof/>
              <w:kern w:val="2"/>
              <w:sz w:val="24"/>
              <w:szCs w:val="24"/>
              <w:lang w:eastAsia="es-MX"/>
              <w14:ligatures w14:val="standardContextual"/>
            </w:rPr>
          </w:pPr>
          <w:hyperlink w:anchor="_Toc228400970" w:history="1">
            <w:r w:rsidRPr="007F12B7">
              <w:rPr>
                <w:rStyle w:val="Hipervnculo"/>
                <w:rFonts w:asciiTheme="majorHAnsi" w:hAnsiTheme="majorHAnsi" w:cstheme="majorHAnsi"/>
                <w:noProof/>
              </w:rPr>
              <w:t>7.3 Indicadores de Éxito a 5 Años</w:t>
            </w:r>
            <w:r>
              <w:rPr>
                <w:noProof/>
                <w:webHidden/>
              </w:rPr>
              <w:tab/>
            </w:r>
            <w:r>
              <w:rPr>
                <w:noProof/>
                <w:webHidden/>
              </w:rPr>
              <w:fldChar w:fldCharType="begin"/>
            </w:r>
            <w:r>
              <w:rPr>
                <w:noProof/>
                <w:webHidden/>
              </w:rPr>
              <w:instrText xml:space="preserve"> PAGEREF _Toc228400970 \h </w:instrText>
            </w:r>
            <w:r>
              <w:rPr>
                <w:noProof/>
                <w:webHidden/>
              </w:rPr>
            </w:r>
            <w:r>
              <w:rPr>
                <w:noProof/>
                <w:webHidden/>
              </w:rPr>
              <w:fldChar w:fldCharType="separate"/>
            </w:r>
            <w:r>
              <w:rPr>
                <w:noProof/>
                <w:webHidden/>
              </w:rPr>
              <w:t>32</w:t>
            </w:r>
            <w:r>
              <w:rPr>
                <w:noProof/>
                <w:webHidden/>
              </w:rPr>
              <w:fldChar w:fldCharType="end"/>
            </w:r>
          </w:hyperlink>
        </w:p>
        <w:p w14:paraId="4A6502E2" w14:textId="2B304DD4" w:rsidR="00E138EE" w:rsidRDefault="00E138EE">
          <w:r>
            <w:rPr>
              <w:b/>
              <w:bCs/>
              <w:lang w:val="es-ES"/>
            </w:rPr>
            <w:fldChar w:fldCharType="end"/>
          </w:r>
        </w:p>
      </w:sdtContent>
    </w:sdt>
    <w:p w14:paraId="3330B650" w14:textId="77777777" w:rsidR="00E138EE" w:rsidRDefault="00E138EE">
      <w:pPr>
        <w:rPr>
          <w:rFonts w:asciiTheme="majorHAnsi" w:hAnsiTheme="majorHAnsi" w:cstheme="majorHAnsi"/>
          <w:b/>
          <w:bCs/>
          <w:color w:val="1B3A5C"/>
          <w:sz w:val="20"/>
          <w:szCs w:val="20"/>
        </w:rPr>
      </w:pPr>
      <w:r>
        <w:rPr>
          <w:rFonts w:asciiTheme="majorHAnsi" w:hAnsiTheme="majorHAnsi" w:cstheme="majorHAnsi"/>
          <w:sz w:val="20"/>
          <w:szCs w:val="20"/>
        </w:rPr>
        <w:br w:type="page"/>
      </w:r>
    </w:p>
    <w:p w14:paraId="62F5810D" w14:textId="77777777" w:rsidR="008D3AF5" w:rsidRPr="00377CFD" w:rsidRDefault="00000000" w:rsidP="004726E2">
      <w:pPr>
        <w:pStyle w:val="Ttulo1"/>
        <w:pBdr>
          <w:bottom w:val="single" w:sz="10" w:space="0" w:color="C8922A"/>
        </w:pBdr>
        <w:jc w:val="both"/>
        <w:rPr>
          <w:rFonts w:asciiTheme="majorHAnsi" w:hAnsiTheme="majorHAnsi" w:cstheme="majorHAnsi"/>
          <w:sz w:val="20"/>
          <w:szCs w:val="20"/>
        </w:rPr>
      </w:pPr>
      <w:bookmarkStart w:id="0" w:name="_Toc228400928"/>
      <w:r w:rsidRPr="00377CFD">
        <w:rPr>
          <w:rFonts w:asciiTheme="majorHAnsi" w:hAnsiTheme="majorHAnsi" w:cstheme="majorHAnsi"/>
          <w:sz w:val="20"/>
          <w:szCs w:val="20"/>
        </w:rPr>
        <w:lastRenderedPageBreak/>
        <w:t>I. RESUMEN EJECUTIVO</w:t>
      </w:r>
      <w:bookmarkEnd w:id="0"/>
    </w:p>
    <w:p w14:paraId="7F64B433"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minería es el sector productivo más relevante de Chile, aportando cerca del 13% del PIB y generando empleo directo a más de 210.000 personas (COCHILCO, 2024). Sin embargo, paradójicamente, es el sector donde la protección del sistema de trabajo pesado —establecido por la Ley N° 19.404 de 1995— opera con mayor ineficiencia. El mecanismo vigente exige una evaluación caso a caso ante la Comisión Ergonómica Nacional (CEN), cuyo procedimiento demora entre 18 y 36 meses, produce inconsistencias técnicas y deja a amplios contingentes de trabajadores mineros sin acceso a los beneficios previsionales que les corresponden.</w:t>
      </w:r>
    </w:p>
    <w:p w14:paraId="0E221808" w14:textId="77777777" w:rsidR="00137246" w:rsidRPr="00377CFD" w:rsidRDefault="00137246" w:rsidP="004726E2">
      <w:pPr>
        <w:spacing w:after="100" w:line="276" w:lineRule="auto"/>
        <w:jc w:val="both"/>
        <w:rPr>
          <w:rFonts w:asciiTheme="majorHAnsi" w:hAnsiTheme="majorHAnsi" w:cstheme="majorHAnsi"/>
          <w:color w:val="1A1A1A"/>
          <w:sz w:val="20"/>
          <w:szCs w:val="20"/>
        </w:rPr>
      </w:pPr>
    </w:p>
    <w:p w14:paraId="2A8BBB6A" w14:textId="0D804D4C"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Esta propuesta articula una reforma de doble vía para resolver ese problema estructural:</w:t>
      </w:r>
    </w:p>
    <w:p w14:paraId="4DA18834" w14:textId="7AED4E42"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Una modificación a la Ley N° 19.404 que incorpora un nuevo Título II bis de "Calificación Automática Sectorial para Minería", estableciendo que ciertos puestos quedan</w:t>
      </w:r>
      <w:r w:rsidR="00EE10BF">
        <w:rPr>
          <w:rFonts w:asciiTheme="majorHAnsi" w:hAnsiTheme="majorHAnsi" w:cstheme="majorHAnsi"/>
          <w:color w:val="1A1A1A"/>
          <w:sz w:val="20"/>
          <w:szCs w:val="20"/>
        </w:rPr>
        <w:t>, por el solo imperio de la ley,</w:t>
      </w:r>
      <w:r w:rsidRPr="00377CFD">
        <w:rPr>
          <w:rFonts w:asciiTheme="majorHAnsi" w:hAnsiTheme="majorHAnsi" w:cstheme="majorHAnsi"/>
          <w:color w:val="1A1A1A"/>
          <w:sz w:val="20"/>
          <w:szCs w:val="20"/>
        </w:rPr>
        <w:t xml:space="preserve"> calificados como trabajo pesado cuando concurran uno o más criterios objetivos predefinidos sin requerir dictamen posterior de la CEN.</w:t>
      </w:r>
    </w:p>
    <w:p w14:paraId="2C05448F" w14:textId="77777777" w:rsidR="00137246" w:rsidRPr="00377CFD" w:rsidRDefault="00137246" w:rsidP="00137246">
      <w:pPr>
        <w:pBdr>
          <w:top w:val="nil"/>
          <w:left w:val="nil"/>
          <w:bottom w:val="nil"/>
          <w:right w:val="nil"/>
          <w:between w:val="nil"/>
        </w:pBdr>
        <w:spacing w:after="80"/>
        <w:ind w:left="540"/>
        <w:jc w:val="both"/>
        <w:rPr>
          <w:rFonts w:asciiTheme="majorHAnsi" w:hAnsiTheme="majorHAnsi" w:cstheme="majorHAnsi"/>
          <w:sz w:val="20"/>
          <w:szCs w:val="20"/>
        </w:rPr>
      </w:pPr>
    </w:p>
    <w:p w14:paraId="48F323A8"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La actualización correlativa del Decreto N° 71 para incorporar el Registro Nacional de Puestos Mineros de Calificación Automática (RENAPMA), con protocolos de inscripción, auditoría y monitoreo que reemplazan el procedimiento discrecional actual.</w:t>
      </w:r>
    </w:p>
    <w:p w14:paraId="3AF577C6" w14:textId="77777777" w:rsidR="00137246" w:rsidRPr="00377CFD" w:rsidRDefault="00137246" w:rsidP="004726E2">
      <w:pPr>
        <w:spacing w:after="100" w:line="276" w:lineRule="auto"/>
        <w:jc w:val="both"/>
        <w:rPr>
          <w:rFonts w:asciiTheme="majorHAnsi" w:eastAsia="Arial Unicode MS" w:hAnsiTheme="majorHAnsi" w:cstheme="majorHAnsi"/>
          <w:color w:val="1A1A1A"/>
          <w:sz w:val="20"/>
          <w:szCs w:val="20"/>
        </w:rPr>
      </w:pPr>
    </w:p>
    <w:p w14:paraId="5B0EAF3D" w14:textId="77777777" w:rsidR="00EE10BF" w:rsidRDefault="00000000" w:rsidP="004726E2">
      <w:pPr>
        <w:spacing w:after="100" w:line="276" w:lineRule="auto"/>
        <w:jc w:val="both"/>
        <w:rPr>
          <w:rFonts w:asciiTheme="majorHAnsi" w:eastAsia="Arial Unicode MS" w:hAnsiTheme="majorHAnsi" w:cstheme="majorHAnsi"/>
          <w:color w:val="1A1A1A"/>
          <w:sz w:val="20"/>
          <w:szCs w:val="20"/>
        </w:rPr>
      </w:pPr>
      <w:r w:rsidRPr="00377CFD">
        <w:rPr>
          <w:rFonts w:asciiTheme="majorHAnsi" w:eastAsia="Arial Unicode MS" w:hAnsiTheme="majorHAnsi" w:cstheme="majorHAnsi"/>
          <w:color w:val="1A1A1A"/>
          <w:sz w:val="20"/>
          <w:szCs w:val="20"/>
        </w:rPr>
        <w:t>Los siete factores objetivos que activan la calificación automática son:</w:t>
      </w:r>
    </w:p>
    <w:p w14:paraId="20F36B13" w14:textId="0F41AABC" w:rsidR="00EE10BF" w:rsidRPr="00EE10BF" w:rsidRDefault="00EE10BF" w:rsidP="00EE10BF">
      <w:pPr>
        <w:pStyle w:val="Prrafodelista"/>
        <w:numPr>
          <w:ilvl w:val="0"/>
          <w:numId w:val="5"/>
        </w:numPr>
        <w:spacing w:after="100" w:line="276" w:lineRule="auto"/>
        <w:jc w:val="both"/>
        <w:rPr>
          <w:rFonts w:asciiTheme="majorHAnsi" w:eastAsia="Arial Unicode MS" w:hAnsiTheme="majorHAnsi" w:cstheme="majorHAnsi"/>
          <w:color w:val="1A1A1A"/>
          <w:sz w:val="20"/>
          <w:szCs w:val="20"/>
        </w:rPr>
      </w:pPr>
      <w:r>
        <w:rPr>
          <w:rFonts w:asciiTheme="majorHAnsi" w:eastAsia="Arial Unicode MS" w:hAnsiTheme="majorHAnsi" w:cstheme="majorHAnsi"/>
          <w:color w:val="1A1A1A"/>
          <w:sz w:val="20"/>
          <w:szCs w:val="20"/>
        </w:rPr>
        <w:t>A</w:t>
      </w:r>
      <w:r w:rsidRPr="00EE10BF">
        <w:rPr>
          <w:rFonts w:asciiTheme="majorHAnsi" w:eastAsia="Arial Unicode MS" w:hAnsiTheme="majorHAnsi" w:cstheme="majorHAnsi"/>
          <w:color w:val="1A1A1A"/>
          <w:sz w:val="20"/>
          <w:szCs w:val="20"/>
        </w:rPr>
        <w:t>ltura geográfica igual o superior a 3.000 msnm</w:t>
      </w:r>
    </w:p>
    <w:p w14:paraId="0A7F4D73" w14:textId="28E018F2" w:rsidR="00EE10BF" w:rsidRPr="00EE10BF" w:rsidRDefault="00EE10BF" w:rsidP="00EE10BF">
      <w:pPr>
        <w:pStyle w:val="Prrafodelista"/>
        <w:numPr>
          <w:ilvl w:val="0"/>
          <w:numId w:val="5"/>
        </w:numPr>
        <w:spacing w:after="100" w:line="276" w:lineRule="auto"/>
        <w:jc w:val="both"/>
        <w:rPr>
          <w:rFonts w:asciiTheme="majorHAnsi" w:hAnsiTheme="majorHAnsi" w:cstheme="majorHAnsi"/>
          <w:sz w:val="20"/>
          <w:szCs w:val="20"/>
        </w:rPr>
      </w:pPr>
      <w:r>
        <w:rPr>
          <w:rFonts w:asciiTheme="majorHAnsi" w:eastAsia="Arial Unicode MS" w:hAnsiTheme="majorHAnsi" w:cstheme="majorHAnsi"/>
          <w:color w:val="1A1A1A"/>
          <w:sz w:val="20"/>
          <w:szCs w:val="20"/>
        </w:rPr>
        <w:t>T</w:t>
      </w:r>
      <w:r w:rsidRPr="00EE10BF">
        <w:rPr>
          <w:rFonts w:asciiTheme="majorHAnsi" w:eastAsia="Arial Unicode MS" w:hAnsiTheme="majorHAnsi" w:cstheme="majorHAnsi"/>
          <w:color w:val="1A1A1A"/>
          <w:sz w:val="20"/>
          <w:szCs w:val="20"/>
        </w:rPr>
        <w:t>urnos rotativos 7×7 o equivalentes</w:t>
      </w:r>
    </w:p>
    <w:p w14:paraId="11EB3883" w14:textId="3462482C" w:rsidR="00EE10BF" w:rsidRPr="00EE10BF" w:rsidRDefault="00EE10BF" w:rsidP="00EE10BF">
      <w:pPr>
        <w:pStyle w:val="Prrafodelista"/>
        <w:numPr>
          <w:ilvl w:val="0"/>
          <w:numId w:val="5"/>
        </w:numPr>
        <w:spacing w:after="100" w:line="276" w:lineRule="auto"/>
        <w:jc w:val="both"/>
        <w:rPr>
          <w:rFonts w:asciiTheme="majorHAnsi" w:hAnsiTheme="majorHAnsi" w:cstheme="majorHAnsi"/>
          <w:sz w:val="20"/>
          <w:szCs w:val="20"/>
        </w:rPr>
      </w:pPr>
      <w:r>
        <w:rPr>
          <w:rFonts w:asciiTheme="majorHAnsi" w:eastAsia="Arial Unicode MS" w:hAnsiTheme="majorHAnsi" w:cstheme="majorHAnsi"/>
          <w:color w:val="1A1A1A"/>
          <w:sz w:val="20"/>
          <w:szCs w:val="20"/>
        </w:rPr>
        <w:t>T</w:t>
      </w:r>
      <w:r w:rsidRPr="00EE10BF">
        <w:rPr>
          <w:rFonts w:asciiTheme="majorHAnsi" w:eastAsia="Arial Unicode MS" w:hAnsiTheme="majorHAnsi" w:cstheme="majorHAnsi"/>
          <w:color w:val="1A1A1A"/>
          <w:sz w:val="20"/>
          <w:szCs w:val="20"/>
        </w:rPr>
        <w:t>rabajo nocturno prolongado (4 noches/semana)</w:t>
      </w:r>
    </w:p>
    <w:p w14:paraId="1018300A" w14:textId="38ABEF7C" w:rsidR="00EE10BF" w:rsidRPr="00EE10BF" w:rsidRDefault="00EE10BF" w:rsidP="00EE10BF">
      <w:pPr>
        <w:pStyle w:val="Prrafodelista"/>
        <w:numPr>
          <w:ilvl w:val="0"/>
          <w:numId w:val="5"/>
        </w:numPr>
        <w:spacing w:after="100" w:line="276" w:lineRule="auto"/>
        <w:jc w:val="both"/>
        <w:rPr>
          <w:rFonts w:asciiTheme="majorHAnsi" w:hAnsiTheme="majorHAnsi" w:cstheme="majorHAnsi"/>
          <w:sz w:val="20"/>
          <w:szCs w:val="20"/>
        </w:rPr>
      </w:pPr>
      <w:r>
        <w:rPr>
          <w:rFonts w:asciiTheme="majorHAnsi" w:eastAsia="Arial Unicode MS" w:hAnsiTheme="majorHAnsi" w:cstheme="majorHAnsi"/>
          <w:color w:val="1A1A1A"/>
          <w:sz w:val="20"/>
          <w:szCs w:val="20"/>
        </w:rPr>
        <w:t>E</w:t>
      </w:r>
      <w:r w:rsidRPr="00EE10BF">
        <w:rPr>
          <w:rFonts w:asciiTheme="majorHAnsi" w:eastAsia="Arial Unicode MS" w:hAnsiTheme="majorHAnsi" w:cstheme="majorHAnsi"/>
          <w:color w:val="1A1A1A"/>
          <w:sz w:val="20"/>
          <w:szCs w:val="20"/>
        </w:rPr>
        <w:t>xposición a ruido ≥ 85 dB(A)</w:t>
      </w:r>
    </w:p>
    <w:p w14:paraId="4EE47A16" w14:textId="5F6AF29E" w:rsidR="00EE10BF" w:rsidRPr="00EE10BF" w:rsidRDefault="00EE10BF" w:rsidP="00EE10BF">
      <w:pPr>
        <w:pStyle w:val="Prrafodelista"/>
        <w:numPr>
          <w:ilvl w:val="0"/>
          <w:numId w:val="5"/>
        </w:numPr>
        <w:spacing w:after="100" w:line="276" w:lineRule="auto"/>
        <w:jc w:val="both"/>
        <w:rPr>
          <w:rFonts w:asciiTheme="majorHAnsi" w:hAnsiTheme="majorHAnsi" w:cstheme="majorHAnsi"/>
          <w:sz w:val="20"/>
          <w:szCs w:val="20"/>
        </w:rPr>
      </w:pPr>
      <w:r>
        <w:rPr>
          <w:rFonts w:asciiTheme="majorHAnsi" w:eastAsia="Arial Unicode MS" w:hAnsiTheme="majorHAnsi" w:cstheme="majorHAnsi"/>
          <w:color w:val="1A1A1A"/>
          <w:sz w:val="20"/>
          <w:szCs w:val="20"/>
        </w:rPr>
        <w:t>E</w:t>
      </w:r>
      <w:r w:rsidRPr="00EE10BF">
        <w:rPr>
          <w:rFonts w:asciiTheme="majorHAnsi" w:eastAsia="Arial Unicode MS" w:hAnsiTheme="majorHAnsi" w:cstheme="majorHAnsi"/>
          <w:color w:val="1A1A1A"/>
          <w:sz w:val="20"/>
          <w:szCs w:val="20"/>
        </w:rPr>
        <w:t>xposición a agentes químicos SGA cat. 1-2 o sílice libre &gt; 10%</w:t>
      </w:r>
    </w:p>
    <w:p w14:paraId="7B016D24" w14:textId="543D1DD8" w:rsidR="00EE10BF" w:rsidRPr="00EE10BF" w:rsidRDefault="00EE10BF" w:rsidP="00EE10BF">
      <w:pPr>
        <w:pStyle w:val="Prrafodelista"/>
        <w:numPr>
          <w:ilvl w:val="0"/>
          <w:numId w:val="5"/>
        </w:numPr>
        <w:spacing w:after="100" w:line="276" w:lineRule="auto"/>
        <w:jc w:val="both"/>
        <w:rPr>
          <w:rFonts w:asciiTheme="majorHAnsi" w:hAnsiTheme="majorHAnsi" w:cstheme="majorHAnsi"/>
          <w:sz w:val="20"/>
          <w:szCs w:val="20"/>
        </w:rPr>
      </w:pPr>
      <w:r>
        <w:rPr>
          <w:rFonts w:asciiTheme="majorHAnsi" w:eastAsia="Arial Unicode MS" w:hAnsiTheme="majorHAnsi" w:cstheme="majorHAnsi"/>
          <w:color w:val="1A1A1A"/>
          <w:sz w:val="20"/>
          <w:szCs w:val="20"/>
        </w:rPr>
        <w:t>R</w:t>
      </w:r>
      <w:r w:rsidRPr="00EE10BF">
        <w:rPr>
          <w:rFonts w:asciiTheme="majorHAnsi" w:eastAsia="Arial Unicode MS" w:hAnsiTheme="majorHAnsi" w:cstheme="majorHAnsi"/>
          <w:color w:val="1A1A1A"/>
          <w:sz w:val="20"/>
          <w:szCs w:val="20"/>
        </w:rPr>
        <w:t>iesgo musculoesquelético nivel REBA/RULA ≥ 3</w:t>
      </w:r>
    </w:p>
    <w:p w14:paraId="6762000D" w14:textId="7215B5AE" w:rsidR="00EE10BF" w:rsidRPr="00EE10BF" w:rsidRDefault="00EE10BF" w:rsidP="00EE10BF">
      <w:pPr>
        <w:pStyle w:val="Prrafodelista"/>
        <w:numPr>
          <w:ilvl w:val="0"/>
          <w:numId w:val="5"/>
        </w:numPr>
        <w:spacing w:after="100" w:line="276" w:lineRule="auto"/>
        <w:jc w:val="both"/>
        <w:rPr>
          <w:rFonts w:asciiTheme="majorHAnsi" w:hAnsiTheme="majorHAnsi" w:cstheme="majorHAnsi"/>
          <w:sz w:val="20"/>
          <w:szCs w:val="20"/>
        </w:rPr>
      </w:pPr>
      <w:r>
        <w:rPr>
          <w:rFonts w:asciiTheme="majorHAnsi" w:eastAsia="Arial Unicode MS" w:hAnsiTheme="majorHAnsi" w:cstheme="majorHAnsi"/>
          <w:color w:val="1A1A1A"/>
          <w:sz w:val="20"/>
          <w:szCs w:val="20"/>
        </w:rPr>
        <w:t>J</w:t>
      </w:r>
      <w:r w:rsidRPr="00EE10BF">
        <w:rPr>
          <w:rFonts w:asciiTheme="majorHAnsi" w:eastAsia="Arial Unicode MS" w:hAnsiTheme="majorHAnsi" w:cstheme="majorHAnsi"/>
          <w:color w:val="1A1A1A"/>
          <w:sz w:val="20"/>
          <w:szCs w:val="20"/>
        </w:rPr>
        <w:t xml:space="preserve">ornada excepcional &gt; </w:t>
      </w:r>
      <w:r w:rsidR="00234E91">
        <w:rPr>
          <w:rFonts w:asciiTheme="majorHAnsi" w:eastAsia="Arial Unicode MS" w:hAnsiTheme="majorHAnsi" w:cstheme="majorHAnsi"/>
          <w:color w:val="1A1A1A"/>
          <w:sz w:val="20"/>
          <w:szCs w:val="20"/>
        </w:rPr>
        <w:t>42</w:t>
      </w:r>
      <w:r w:rsidRPr="00EE10BF">
        <w:rPr>
          <w:rFonts w:asciiTheme="majorHAnsi" w:eastAsia="Arial Unicode MS" w:hAnsiTheme="majorHAnsi" w:cstheme="majorHAnsi"/>
          <w:color w:val="1A1A1A"/>
          <w:sz w:val="20"/>
          <w:szCs w:val="20"/>
        </w:rPr>
        <w:t xml:space="preserve"> horas en faenas a más de 100 km de área urbana.</w:t>
      </w:r>
    </w:p>
    <w:p w14:paraId="798D7B18" w14:textId="77777777" w:rsidR="00EE10BF" w:rsidRDefault="00EE10BF" w:rsidP="00EE10BF">
      <w:pPr>
        <w:spacing w:after="100" w:line="276" w:lineRule="auto"/>
        <w:jc w:val="both"/>
        <w:rPr>
          <w:rFonts w:asciiTheme="majorHAnsi" w:eastAsia="Arial Unicode MS" w:hAnsiTheme="majorHAnsi" w:cstheme="majorHAnsi"/>
          <w:color w:val="1A1A1A"/>
          <w:sz w:val="20"/>
          <w:szCs w:val="20"/>
        </w:rPr>
      </w:pPr>
    </w:p>
    <w:p w14:paraId="03BF2D3F" w14:textId="011E1162" w:rsidR="008D3AF5" w:rsidRPr="00EE10BF" w:rsidRDefault="00000000" w:rsidP="00EE10BF">
      <w:pPr>
        <w:spacing w:after="100" w:line="276" w:lineRule="auto"/>
        <w:jc w:val="both"/>
        <w:rPr>
          <w:rFonts w:asciiTheme="majorHAnsi" w:hAnsiTheme="majorHAnsi" w:cstheme="majorHAnsi"/>
          <w:sz w:val="20"/>
          <w:szCs w:val="20"/>
        </w:rPr>
      </w:pPr>
      <w:r w:rsidRPr="00EE10BF">
        <w:rPr>
          <w:rFonts w:asciiTheme="majorHAnsi" w:eastAsia="Arial Unicode MS" w:hAnsiTheme="majorHAnsi" w:cstheme="majorHAnsi"/>
          <w:color w:val="1A1A1A"/>
          <w:sz w:val="20"/>
          <w:szCs w:val="20"/>
        </w:rPr>
        <w:t>La concurrencia de cualquiera de ellos, durante al menos el 50% de la jornada mensual, es suficiente para la calificación.</w:t>
      </w:r>
    </w:p>
    <w:p w14:paraId="143E0AC5" w14:textId="77777777" w:rsidR="00137246" w:rsidRPr="00377CFD" w:rsidRDefault="00137246">
      <w:pPr>
        <w:rPr>
          <w:rFonts w:asciiTheme="majorHAnsi" w:hAnsiTheme="majorHAnsi" w:cstheme="majorHAnsi"/>
          <w:b/>
          <w:bCs/>
          <w:color w:val="1B3A5C"/>
          <w:sz w:val="20"/>
          <w:szCs w:val="20"/>
        </w:rPr>
      </w:pPr>
      <w:r w:rsidRPr="00377CFD">
        <w:rPr>
          <w:rFonts w:asciiTheme="majorHAnsi" w:hAnsiTheme="majorHAnsi" w:cstheme="majorHAnsi"/>
          <w:sz w:val="20"/>
          <w:szCs w:val="20"/>
        </w:rPr>
        <w:br w:type="page"/>
      </w:r>
    </w:p>
    <w:p w14:paraId="62025F47" w14:textId="7600B574" w:rsidR="008D3AF5" w:rsidRPr="00377CFD" w:rsidRDefault="00000000" w:rsidP="004726E2">
      <w:pPr>
        <w:pStyle w:val="Ttulo3"/>
        <w:jc w:val="both"/>
        <w:rPr>
          <w:rFonts w:asciiTheme="majorHAnsi" w:hAnsiTheme="majorHAnsi" w:cstheme="majorHAnsi"/>
          <w:sz w:val="20"/>
          <w:szCs w:val="20"/>
        </w:rPr>
      </w:pPr>
      <w:bookmarkStart w:id="1" w:name="_Toc228400929"/>
      <w:r w:rsidRPr="00377CFD">
        <w:rPr>
          <w:rFonts w:asciiTheme="majorHAnsi" w:hAnsiTheme="majorHAnsi" w:cstheme="majorHAnsi"/>
          <w:sz w:val="20"/>
          <w:szCs w:val="20"/>
        </w:rPr>
        <w:lastRenderedPageBreak/>
        <w:t>Impacto proyectado principal</w:t>
      </w:r>
      <w:bookmarkEnd w:id="1"/>
    </w:p>
    <w:tbl>
      <w:tblPr>
        <w:tblStyle w:val="a1"/>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949"/>
        <w:gridCol w:w="3411"/>
      </w:tblGrid>
      <w:tr w:rsidR="008D3AF5" w:rsidRPr="00377CFD" w14:paraId="12B13C2B" w14:textId="77777777" w:rsidTr="005510B9">
        <w:tc>
          <w:tcPr>
            <w:tcW w:w="3000" w:type="dxa"/>
            <w:shd w:val="clear" w:color="auto" w:fill="1B3A5C"/>
            <w:tcMar>
              <w:top w:w="80" w:type="dxa"/>
              <w:left w:w="120" w:type="dxa"/>
              <w:bottom w:w="80" w:type="dxa"/>
              <w:right w:w="120" w:type="dxa"/>
            </w:tcMar>
            <w:vAlign w:val="center"/>
          </w:tcPr>
          <w:p w14:paraId="100E0B80" w14:textId="77777777" w:rsidR="008D3AF5" w:rsidRPr="005510B9" w:rsidRDefault="00000000" w:rsidP="005510B9">
            <w:pPr>
              <w:spacing w:line="276" w:lineRule="auto"/>
              <w:jc w:val="center"/>
              <w:rPr>
                <w:rFonts w:asciiTheme="majorHAnsi" w:hAnsiTheme="majorHAnsi" w:cstheme="majorHAnsi"/>
                <w:sz w:val="18"/>
                <w:szCs w:val="18"/>
              </w:rPr>
            </w:pPr>
            <w:r w:rsidRPr="005510B9">
              <w:rPr>
                <w:rFonts w:asciiTheme="majorHAnsi" w:hAnsiTheme="majorHAnsi" w:cstheme="majorHAnsi"/>
                <w:b/>
                <w:bCs/>
                <w:color w:val="FFFFFF"/>
                <w:sz w:val="18"/>
                <w:szCs w:val="18"/>
              </w:rPr>
              <w:t>Dimensión</w:t>
            </w:r>
          </w:p>
        </w:tc>
        <w:tc>
          <w:tcPr>
            <w:tcW w:w="2949" w:type="dxa"/>
            <w:shd w:val="clear" w:color="auto" w:fill="1B3A5C"/>
            <w:tcMar>
              <w:top w:w="80" w:type="dxa"/>
              <w:left w:w="120" w:type="dxa"/>
              <w:bottom w:w="80" w:type="dxa"/>
              <w:right w:w="120" w:type="dxa"/>
            </w:tcMar>
            <w:vAlign w:val="center"/>
          </w:tcPr>
          <w:p w14:paraId="05DBE5C6" w14:textId="77777777" w:rsidR="008D3AF5" w:rsidRPr="005510B9" w:rsidRDefault="00000000" w:rsidP="005510B9">
            <w:pPr>
              <w:spacing w:line="276" w:lineRule="auto"/>
              <w:jc w:val="center"/>
              <w:rPr>
                <w:rFonts w:asciiTheme="majorHAnsi" w:hAnsiTheme="majorHAnsi" w:cstheme="majorHAnsi"/>
                <w:sz w:val="18"/>
                <w:szCs w:val="18"/>
              </w:rPr>
            </w:pPr>
            <w:r w:rsidRPr="005510B9">
              <w:rPr>
                <w:rFonts w:asciiTheme="majorHAnsi" w:hAnsiTheme="majorHAnsi" w:cstheme="majorHAnsi"/>
                <w:b/>
                <w:bCs/>
                <w:color w:val="FFFFFF"/>
                <w:sz w:val="18"/>
                <w:szCs w:val="18"/>
              </w:rPr>
              <w:t>Situación actual</w:t>
            </w:r>
          </w:p>
        </w:tc>
        <w:tc>
          <w:tcPr>
            <w:tcW w:w="3411" w:type="dxa"/>
            <w:shd w:val="clear" w:color="auto" w:fill="1B3A5C"/>
            <w:tcMar>
              <w:top w:w="80" w:type="dxa"/>
              <w:left w:w="120" w:type="dxa"/>
              <w:bottom w:w="80" w:type="dxa"/>
              <w:right w:w="120" w:type="dxa"/>
            </w:tcMar>
            <w:vAlign w:val="center"/>
          </w:tcPr>
          <w:p w14:paraId="600AA037" w14:textId="77777777" w:rsidR="008D3AF5" w:rsidRPr="005510B9" w:rsidRDefault="00000000" w:rsidP="005510B9">
            <w:pPr>
              <w:spacing w:line="276" w:lineRule="auto"/>
              <w:jc w:val="center"/>
              <w:rPr>
                <w:rFonts w:asciiTheme="majorHAnsi" w:hAnsiTheme="majorHAnsi" w:cstheme="majorHAnsi"/>
                <w:sz w:val="18"/>
                <w:szCs w:val="18"/>
              </w:rPr>
            </w:pPr>
            <w:r w:rsidRPr="005510B9">
              <w:rPr>
                <w:rFonts w:asciiTheme="majorHAnsi" w:hAnsiTheme="majorHAnsi" w:cstheme="majorHAnsi"/>
                <w:b/>
                <w:bCs/>
                <w:color w:val="FFFFFF"/>
                <w:sz w:val="18"/>
                <w:szCs w:val="18"/>
              </w:rPr>
              <w:t>Con reforma propuesta</w:t>
            </w:r>
          </w:p>
        </w:tc>
      </w:tr>
      <w:tr w:rsidR="008D3AF5" w:rsidRPr="00377CFD" w14:paraId="44292A8C" w14:textId="77777777" w:rsidTr="005510B9">
        <w:tc>
          <w:tcPr>
            <w:tcW w:w="3000" w:type="dxa"/>
            <w:shd w:val="clear" w:color="auto" w:fill="FFFFFF"/>
            <w:tcMar>
              <w:top w:w="80" w:type="dxa"/>
              <w:left w:w="120" w:type="dxa"/>
              <w:bottom w:w="80" w:type="dxa"/>
              <w:right w:w="120" w:type="dxa"/>
            </w:tcMar>
            <w:vAlign w:val="center"/>
          </w:tcPr>
          <w:p w14:paraId="6C62D246" w14:textId="77777777" w:rsidR="00137246" w:rsidRPr="005510B9" w:rsidRDefault="00000000" w:rsidP="004726E2">
            <w:pPr>
              <w:spacing w:line="276" w:lineRule="auto"/>
              <w:jc w:val="both"/>
              <w:rPr>
                <w:rFonts w:asciiTheme="majorHAnsi" w:hAnsiTheme="majorHAnsi" w:cstheme="majorHAnsi"/>
                <w:color w:val="1A1A1A"/>
                <w:sz w:val="18"/>
                <w:szCs w:val="18"/>
              </w:rPr>
            </w:pPr>
            <w:r w:rsidRPr="005510B9">
              <w:rPr>
                <w:rFonts w:asciiTheme="majorHAnsi" w:hAnsiTheme="majorHAnsi" w:cstheme="majorHAnsi"/>
                <w:color w:val="1A1A1A"/>
                <w:sz w:val="18"/>
                <w:szCs w:val="18"/>
              </w:rPr>
              <w:t>Trabajadores mineros</w:t>
            </w:r>
          </w:p>
          <w:p w14:paraId="345DFD76" w14:textId="2629A6F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con calificación vigente</w:t>
            </w:r>
          </w:p>
        </w:tc>
        <w:tc>
          <w:tcPr>
            <w:tcW w:w="2949" w:type="dxa"/>
            <w:shd w:val="clear" w:color="auto" w:fill="FFFFFF"/>
            <w:tcMar>
              <w:top w:w="80" w:type="dxa"/>
              <w:left w:w="120" w:type="dxa"/>
              <w:bottom w:w="80" w:type="dxa"/>
              <w:right w:w="120" w:type="dxa"/>
            </w:tcMar>
            <w:vAlign w:val="center"/>
          </w:tcPr>
          <w:p w14:paraId="14D1686B" w14:textId="7777777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~32.000 (15% del total sector)</w:t>
            </w:r>
          </w:p>
        </w:tc>
        <w:tc>
          <w:tcPr>
            <w:tcW w:w="3411" w:type="dxa"/>
            <w:shd w:val="clear" w:color="auto" w:fill="FFFFFF"/>
            <w:tcMar>
              <w:top w:w="80" w:type="dxa"/>
              <w:left w:w="120" w:type="dxa"/>
              <w:bottom w:w="80" w:type="dxa"/>
              <w:right w:w="120" w:type="dxa"/>
            </w:tcMar>
            <w:vAlign w:val="center"/>
          </w:tcPr>
          <w:p w14:paraId="409F8E76" w14:textId="2B7D5766"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~127.000 (60% del sector, año 3</w:t>
            </w:r>
            <w:r w:rsidR="00234E91">
              <w:rPr>
                <w:rFonts w:asciiTheme="majorHAnsi" w:hAnsiTheme="majorHAnsi" w:cstheme="majorHAnsi"/>
                <w:color w:val="1A1A1A"/>
                <w:sz w:val="18"/>
                <w:szCs w:val="18"/>
              </w:rPr>
              <w:t xml:space="preserve"> de la </w:t>
            </w:r>
            <w:proofErr w:type="spellStart"/>
            <w:r w:rsidR="00234E91">
              <w:rPr>
                <w:rFonts w:asciiTheme="majorHAnsi" w:hAnsiTheme="majorHAnsi" w:cstheme="majorHAnsi"/>
                <w:color w:val="1A1A1A"/>
                <w:sz w:val="18"/>
                <w:szCs w:val="18"/>
              </w:rPr>
              <w:t>refmorma</w:t>
            </w:r>
            <w:proofErr w:type="spellEnd"/>
            <w:r w:rsidRPr="005510B9">
              <w:rPr>
                <w:rFonts w:asciiTheme="majorHAnsi" w:hAnsiTheme="majorHAnsi" w:cstheme="majorHAnsi"/>
                <w:color w:val="1A1A1A"/>
                <w:sz w:val="18"/>
                <w:szCs w:val="18"/>
              </w:rPr>
              <w:t>)</w:t>
            </w:r>
          </w:p>
        </w:tc>
      </w:tr>
      <w:tr w:rsidR="008D3AF5" w:rsidRPr="00377CFD" w14:paraId="11A8FFA4" w14:textId="77777777" w:rsidTr="005510B9">
        <w:tc>
          <w:tcPr>
            <w:tcW w:w="3000" w:type="dxa"/>
            <w:shd w:val="clear" w:color="auto" w:fill="EAF2F8"/>
            <w:tcMar>
              <w:top w:w="80" w:type="dxa"/>
              <w:left w:w="120" w:type="dxa"/>
              <w:bottom w:w="80" w:type="dxa"/>
              <w:right w:w="120" w:type="dxa"/>
            </w:tcMar>
            <w:vAlign w:val="center"/>
          </w:tcPr>
          <w:p w14:paraId="3F834136" w14:textId="77777777" w:rsidR="00137246" w:rsidRPr="005510B9" w:rsidRDefault="00000000" w:rsidP="004726E2">
            <w:pPr>
              <w:spacing w:line="276" w:lineRule="auto"/>
              <w:jc w:val="both"/>
              <w:rPr>
                <w:rFonts w:asciiTheme="majorHAnsi" w:hAnsiTheme="majorHAnsi" w:cstheme="majorHAnsi"/>
                <w:color w:val="1A1A1A"/>
                <w:sz w:val="18"/>
                <w:szCs w:val="18"/>
              </w:rPr>
            </w:pPr>
            <w:r w:rsidRPr="005510B9">
              <w:rPr>
                <w:rFonts w:asciiTheme="majorHAnsi" w:hAnsiTheme="majorHAnsi" w:cstheme="majorHAnsi"/>
                <w:color w:val="1A1A1A"/>
                <w:sz w:val="18"/>
                <w:szCs w:val="18"/>
              </w:rPr>
              <w:t>Tiempo promedio de</w:t>
            </w:r>
          </w:p>
          <w:p w14:paraId="7A5202FD" w14:textId="29697AE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calificación</w:t>
            </w:r>
          </w:p>
        </w:tc>
        <w:tc>
          <w:tcPr>
            <w:tcW w:w="2949" w:type="dxa"/>
            <w:shd w:val="clear" w:color="auto" w:fill="EAF2F8"/>
            <w:tcMar>
              <w:top w:w="80" w:type="dxa"/>
              <w:left w:w="120" w:type="dxa"/>
              <w:bottom w:w="80" w:type="dxa"/>
              <w:right w:w="120" w:type="dxa"/>
            </w:tcMar>
            <w:vAlign w:val="center"/>
          </w:tcPr>
          <w:p w14:paraId="3749A4B6" w14:textId="7777777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18–36 meses</w:t>
            </w:r>
          </w:p>
        </w:tc>
        <w:tc>
          <w:tcPr>
            <w:tcW w:w="3411" w:type="dxa"/>
            <w:shd w:val="clear" w:color="auto" w:fill="EAF2F8"/>
            <w:tcMar>
              <w:top w:w="80" w:type="dxa"/>
              <w:left w:w="120" w:type="dxa"/>
              <w:bottom w:w="80" w:type="dxa"/>
              <w:right w:w="120" w:type="dxa"/>
            </w:tcMar>
            <w:vAlign w:val="center"/>
          </w:tcPr>
          <w:p w14:paraId="6B2B1E08" w14:textId="77777777" w:rsidR="00137246" w:rsidRPr="005510B9" w:rsidRDefault="00000000" w:rsidP="004726E2">
            <w:pPr>
              <w:spacing w:line="276" w:lineRule="auto"/>
              <w:jc w:val="both"/>
              <w:rPr>
                <w:rFonts w:asciiTheme="majorHAnsi" w:hAnsiTheme="majorHAnsi" w:cstheme="majorHAnsi"/>
                <w:color w:val="1A1A1A"/>
                <w:sz w:val="18"/>
                <w:szCs w:val="18"/>
              </w:rPr>
            </w:pPr>
            <w:r w:rsidRPr="005510B9">
              <w:rPr>
                <w:rFonts w:asciiTheme="majorHAnsi" w:hAnsiTheme="majorHAnsi" w:cstheme="majorHAnsi"/>
                <w:color w:val="1A1A1A"/>
                <w:sz w:val="18"/>
                <w:szCs w:val="18"/>
              </w:rPr>
              <w:t>&lt; 90 días</w:t>
            </w:r>
          </w:p>
          <w:p w14:paraId="1F40BD40" w14:textId="702C00C1"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(inscripción RENAPMA)</w:t>
            </w:r>
          </w:p>
        </w:tc>
      </w:tr>
      <w:tr w:rsidR="008D3AF5" w:rsidRPr="00377CFD" w14:paraId="6778E338" w14:textId="77777777" w:rsidTr="005510B9">
        <w:tc>
          <w:tcPr>
            <w:tcW w:w="3000" w:type="dxa"/>
            <w:shd w:val="clear" w:color="auto" w:fill="FFFFFF"/>
            <w:tcMar>
              <w:top w:w="80" w:type="dxa"/>
              <w:left w:w="120" w:type="dxa"/>
              <w:bottom w:w="80" w:type="dxa"/>
              <w:right w:w="120" w:type="dxa"/>
            </w:tcMar>
            <w:vAlign w:val="center"/>
          </w:tcPr>
          <w:p w14:paraId="1B6403AF" w14:textId="7777777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Tasa de renovación trienal</w:t>
            </w:r>
          </w:p>
        </w:tc>
        <w:tc>
          <w:tcPr>
            <w:tcW w:w="2949" w:type="dxa"/>
            <w:shd w:val="clear" w:color="auto" w:fill="FFFFFF"/>
            <w:tcMar>
              <w:top w:w="80" w:type="dxa"/>
              <w:left w:w="120" w:type="dxa"/>
              <w:bottom w:w="80" w:type="dxa"/>
              <w:right w:w="120" w:type="dxa"/>
            </w:tcMar>
            <w:vAlign w:val="center"/>
          </w:tcPr>
          <w:p w14:paraId="66EE0087" w14:textId="7777777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43%</w:t>
            </w:r>
          </w:p>
        </w:tc>
        <w:tc>
          <w:tcPr>
            <w:tcW w:w="3411" w:type="dxa"/>
            <w:shd w:val="clear" w:color="auto" w:fill="FFFFFF"/>
            <w:tcMar>
              <w:top w:w="80" w:type="dxa"/>
              <w:left w:w="120" w:type="dxa"/>
              <w:bottom w:w="80" w:type="dxa"/>
              <w:right w:w="120" w:type="dxa"/>
            </w:tcMar>
            <w:vAlign w:val="center"/>
          </w:tcPr>
          <w:p w14:paraId="53971E79" w14:textId="7777777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Automatizada (no requiere renovación)</w:t>
            </w:r>
          </w:p>
        </w:tc>
      </w:tr>
      <w:tr w:rsidR="008D3AF5" w:rsidRPr="00377CFD" w14:paraId="7A4DB654" w14:textId="77777777" w:rsidTr="005510B9">
        <w:tc>
          <w:tcPr>
            <w:tcW w:w="3000" w:type="dxa"/>
            <w:shd w:val="clear" w:color="auto" w:fill="EAF2F8"/>
            <w:tcMar>
              <w:top w:w="80" w:type="dxa"/>
              <w:left w:w="120" w:type="dxa"/>
              <w:bottom w:w="80" w:type="dxa"/>
              <w:right w:w="120" w:type="dxa"/>
            </w:tcMar>
            <w:vAlign w:val="center"/>
          </w:tcPr>
          <w:p w14:paraId="70F96C9C" w14:textId="77777777" w:rsidR="00137246" w:rsidRPr="005510B9" w:rsidRDefault="00000000" w:rsidP="004726E2">
            <w:pPr>
              <w:spacing w:line="276" w:lineRule="auto"/>
              <w:jc w:val="both"/>
              <w:rPr>
                <w:rFonts w:asciiTheme="majorHAnsi" w:hAnsiTheme="majorHAnsi" w:cstheme="majorHAnsi"/>
                <w:color w:val="1A1A1A"/>
                <w:sz w:val="18"/>
                <w:szCs w:val="18"/>
              </w:rPr>
            </w:pPr>
            <w:r w:rsidRPr="005510B9">
              <w:rPr>
                <w:rFonts w:asciiTheme="majorHAnsi" w:hAnsiTheme="majorHAnsi" w:cstheme="majorHAnsi"/>
                <w:color w:val="1A1A1A"/>
                <w:sz w:val="18"/>
                <w:szCs w:val="18"/>
              </w:rPr>
              <w:t>Litigios ante Comisión</w:t>
            </w:r>
          </w:p>
          <w:p w14:paraId="23B1BE53" w14:textId="2BC88340"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de Apelaciones (sector minero)</w:t>
            </w:r>
          </w:p>
        </w:tc>
        <w:tc>
          <w:tcPr>
            <w:tcW w:w="2949" w:type="dxa"/>
            <w:shd w:val="clear" w:color="auto" w:fill="EAF2F8"/>
            <w:tcMar>
              <w:top w:w="80" w:type="dxa"/>
              <w:left w:w="120" w:type="dxa"/>
              <w:bottom w:w="80" w:type="dxa"/>
              <w:right w:w="120" w:type="dxa"/>
            </w:tcMar>
            <w:vAlign w:val="center"/>
          </w:tcPr>
          <w:p w14:paraId="74DF4DF7" w14:textId="7777777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~120-140 anuales</w:t>
            </w:r>
          </w:p>
        </w:tc>
        <w:tc>
          <w:tcPr>
            <w:tcW w:w="3411" w:type="dxa"/>
            <w:shd w:val="clear" w:color="auto" w:fill="EAF2F8"/>
            <w:tcMar>
              <w:top w:w="80" w:type="dxa"/>
              <w:left w:w="120" w:type="dxa"/>
              <w:bottom w:w="80" w:type="dxa"/>
              <w:right w:w="120" w:type="dxa"/>
            </w:tcMar>
            <w:vAlign w:val="center"/>
          </w:tcPr>
          <w:p w14:paraId="104B96AD" w14:textId="77777777" w:rsidR="005510B9" w:rsidRDefault="00000000" w:rsidP="004726E2">
            <w:pPr>
              <w:spacing w:line="276" w:lineRule="auto"/>
              <w:jc w:val="both"/>
              <w:rPr>
                <w:rFonts w:asciiTheme="majorHAnsi" w:hAnsiTheme="majorHAnsi" w:cstheme="majorHAnsi"/>
                <w:color w:val="1A1A1A"/>
                <w:sz w:val="18"/>
                <w:szCs w:val="18"/>
              </w:rPr>
            </w:pPr>
            <w:r w:rsidRPr="005510B9">
              <w:rPr>
                <w:rFonts w:asciiTheme="majorHAnsi" w:hAnsiTheme="majorHAnsi" w:cstheme="majorHAnsi"/>
                <w:color w:val="1A1A1A"/>
                <w:sz w:val="18"/>
                <w:szCs w:val="18"/>
              </w:rPr>
              <w:t>Proyección &lt; 25 anuales</w:t>
            </w:r>
          </w:p>
          <w:p w14:paraId="35BEF870" w14:textId="3EE01555"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(casos excepcionales)</w:t>
            </w:r>
          </w:p>
        </w:tc>
      </w:tr>
      <w:tr w:rsidR="008D3AF5" w:rsidRPr="00377CFD" w14:paraId="65939F2E" w14:textId="77777777" w:rsidTr="005510B9">
        <w:tc>
          <w:tcPr>
            <w:tcW w:w="3000" w:type="dxa"/>
            <w:shd w:val="clear" w:color="auto" w:fill="FFFFFF"/>
            <w:tcMar>
              <w:top w:w="80" w:type="dxa"/>
              <w:left w:w="120" w:type="dxa"/>
              <w:bottom w:w="80" w:type="dxa"/>
              <w:right w:w="120" w:type="dxa"/>
            </w:tcMar>
            <w:vAlign w:val="center"/>
          </w:tcPr>
          <w:p w14:paraId="1258A5F6" w14:textId="7777777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eastAsia="Arial Unicode MS" w:hAnsiTheme="majorHAnsi" w:cstheme="majorHAnsi"/>
                <w:color w:val="1A1A1A"/>
                <w:sz w:val="18"/>
                <w:szCs w:val="18"/>
              </w:rPr>
              <w:t>Reducción cotización 2%→1% por menor desgaste</w:t>
            </w:r>
          </w:p>
        </w:tc>
        <w:tc>
          <w:tcPr>
            <w:tcW w:w="2949" w:type="dxa"/>
            <w:shd w:val="clear" w:color="auto" w:fill="FFFFFF"/>
            <w:tcMar>
              <w:top w:w="80" w:type="dxa"/>
              <w:left w:w="120" w:type="dxa"/>
              <w:bottom w:w="80" w:type="dxa"/>
              <w:right w:w="120" w:type="dxa"/>
            </w:tcMar>
            <w:vAlign w:val="center"/>
          </w:tcPr>
          <w:p w14:paraId="3E9A9085" w14:textId="77777777" w:rsidR="00137246" w:rsidRPr="005510B9" w:rsidRDefault="00000000" w:rsidP="004726E2">
            <w:pPr>
              <w:spacing w:line="276" w:lineRule="auto"/>
              <w:jc w:val="both"/>
              <w:rPr>
                <w:rFonts w:asciiTheme="majorHAnsi" w:hAnsiTheme="majorHAnsi" w:cstheme="majorHAnsi"/>
                <w:color w:val="1A1A1A"/>
                <w:sz w:val="18"/>
                <w:szCs w:val="18"/>
              </w:rPr>
            </w:pPr>
            <w:r w:rsidRPr="005510B9">
              <w:rPr>
                <w:rFonts w:asciiTheme="majorHAnsi" w:hAnsiTheme="majorHAnsi" w:cstheme="majorHAnsi"/>
                <w:color w:val="1A1A1A"/>
                <w:sz w:val="18"/>
                <w:szCs w:val="18"/>
              </w:rPr>
              <w:t>Discrecional CEN</w:t>
            </w:r>
          </w:p>
          <w:p w14:paraId="6DE38224" w14:textId="4AA719A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(escasa aplicación)</w:t>
            </w:r>
          </w:p>
        </w:tc>
        <w:tc>
          <w:tcPr>
            <w:tcW w:w="3411" w:type="dxa"/>
            <w:shd w:val="clear" w:color="auto" w:fill="FFFFFF"/>
            <w:tcMar>
              <w:top w:w="80" w:type="dxa"/>
              <w:left w:w="120" w:type="dxa"/>
              <w:bottom w:w="80" w:type="dxa"/>
              <w:right w:w="120" w:type="dxa"/>
            </w:tcMar>
            <w:vAlign w:val="center"/>
          </w:tcPr>
          <w:p w14:paraId="4C048C9F" w14:textId="465FFB5A"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eastAsia="Arial Unicode MS" w:hAnsiTheme="majorHAnsi" w:cstheme="majorHAnsi"/>
                <w:color w:val="1A1A1A"/>
                <w:sz w:val="18"/>
                <w:szCs w:val="18"/>
              </w:rPr>
              <w:t>Automática al concurrir ≥2 factores objetivos</w:t>
            </w:r>
            <w:r w:rsidR="00137246" w:rsidRPr="005510B9">
              <w:rPr>
                <w:rFonts w:asciiTheme="majorHAnsi" w:eastAsia="Arial Unicode MS" w:hAnsiTheme="majorHAnsi" w:cstheme="majorHAnsi"/>
                <w:color w:val="1A1A1A"/>
                <w:sz w:val="18"/>
                <w:szCs w:val="18"/>
              </w:rPr>
              <w:t>.</w:t>
            </w:r>
          </w:p>
        </w:tc>
      </w:tr>
      <w:tr w:rsidR="008D3AF5" w:rsidRPr="00377CFD" w14:paraId="4F59C591" w14:textId="77777777" w:rsidTr="005510B9">
        <w:tc>
          <w:tcPr>
            <w:tcW w:w="3000" w:type="dxa"/>
            <w:shd w:val="clear" w:color="auto" w:fill="EAF2F8"/>
            <w:tcMar>
              <w:top w:w="80" w:type="dxa"/>
              <w:left w:w="120" w:type="dxa"/>
              <w:bottom w:w="80" w:type="dxa"/>
              <w:right w:w="120" w:type="dxa"/>
            </w:tcMar>
            <w:vAlign w:val="center"/>
          </w:tcPr>
          <w:p w14:paraId="6B4E855E" w14:textId="7777777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Beneficio Art. 68 bis (regla 2×5 minas)</w:t>
            </w:r>
          </w:p>
        </w:tc>
        <w:tc>
          <w:tcPr>
            <w:tcW w:w="2949" w:type="dxa"/>
            <w:shd w:val="clear" w:color="auto" w:fill="EAF2F8"/>
            <w:tcMar>
              <w:top w:w="80" w:type="dxa"/>
              <w:left w:w="120" w:type="dxa"/>
              <w:bottom w:w="80" w:type="dxa"/>
              <w:right w:w="120" w:type="dxa"/>
            </w:tcMar>
            <w:vAlign w:val="center"/>
          </w:tcPr>
          <w:p w14:paraId="3E5F694D" w14:textId="7777777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Solo trabajadores con dictamen vigente</w:t>
            </w:r>
          </w:p>
        </w:tc>
        <w:tc>
          <w:tcPr>
            <w:tcW w:w="3411" w:type="dxa"/>
            <w:shd w:val="clear" w:color="auto" w:fill="EAF2F8"/>
            <w:tcMar>
              <w:top w:w="80" w:type="dxa"/>
              <w:left w:w="120" w:type="dxa"/>
              <w:bottom w:w="80" w:type="dxa"/>
              <w:right w:w="120" w:type="dxa"/>
            </w:tcMar>
            <w:vAlign w:val="center"/>
          </w:tcPr>
          <w:p w14:paraId="6D577614" w14:textId="77777777" w:rsidR="008D3AF5" w:rsidRPr="005510B9" w:rsidRDefault="00000000" w:rsidP="004726E2">
            <w:pPr>
              <w:spacing w:line="276" w:lineRule="auto"/>
              <w:jc w:val="both"/>
              <w:rPr>
                <w:rFonts w:asciiTheme="majorHAnsi" w:hAnsiTheme="majorHAnsi" w:cstheme="majorHAnsi"/>
                <w:sz w:val="18"/>
                <w:szCs w:val="18"/>
              </w:rPr>
            </w:pPr>
            <w:r w:rsidRPr="005510B9">
              <w:rPr>
                <w:rFonts w:asciiTheme="majorHAnsi" w:hAnsiTheme="majorHAnsi" w:cstheme="majorHAnsi"/>
                <w:color w:val="1A1A1A"/>
                <w:sz w:val="18"/>
                <w:szCs w:val="18"/>
              </w:rPr>
              <w:t>Todos los inscritos en RENAPMA</w:t>
            </w:r>
          </w:p>
        </w:tc>
      </w:tr>
    </w:tbl>
    <w:p w14:paraId="41FD1F85"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26AF14F9"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reforma es técnicamente coherente con la estructura vigente de la Ley N° 19.404 —no elimina la CEN sino que la libera para casos complejos—, es legalmente compatible con el artículo 3° de dicha ley (que faculta al reglamento para establecer el instrumento guía de calificación), y es políticamente viable al preservar los mecanismos de impugnación y el rol tripartito del sistema.</w:t>
      </w:r>
    </w:p>
    <w:p w14:paraId="25C45E43"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sz w:val="20"/>
          <w:szCs w:val="20"/>
        </w:rPr>
        <w:br w:type="page"/>
      </w:r>
    </w:p>
    <w:p w14:paraId="796106F4" w14:textId="77777777" w:rsidR="008D3AF5" w:rsidRPr="00377CFD" w:rsidRDefault="00000000" w:rsidP="004726E2">
      <w:pPr>
        <w:pStyle w:val="Ttulo1"/>
        <w:pBdr>
          <w:bottom w:val="single" w:sz="10" w:space="0" w:color="C8922A"/>
        </w:pBdr>
        <w:jc w:val="both"/>
        <w:rPr>
          <w:rFonts w:asciiTheme="majorHAnsi" w:hAnsiTheme="majorHAnsi" w:cstheme="majorHAnsi"/>
          <w:sz w:val="20"/>
          <w:szCs w:val="20"/>
        </w:rPr>
      </w:pPr>
      <w:bookmarkStart w:id="2" w:name="_Toc228400930"/>
      <w:r w:rsidRPr="00377CFD">
        <w:rPr>
          <w:rFonts w:asciiTheme="majorHAnsi" w:hAnsiTheme="majorHAnsi" w:cstheme="majorHAnsi"/>
          <w:sz w:val="20"/>
          <w:szCs w:val="20"/>
        </w:rPr>
        <w:lastRenderedPageBreak/>
        <w:t>II. ANÁLISIS DE LA ESTRUCTURA NORMATIVA ACTUAL</w:t>
      </w:r>
      <w:bookmarkEnd w:id="2"/>
    </w:p>
    <w:p w14:paraId="1A54BDF2" w14:textId="77777777" w:rsidR="008D3AF5" w:rsidRPr="00377CFD" w:rsidRDefault="00000000" w:rsidP="004726E2">
      <w:pPr>
        <w:pStyle w:val="Ttulo2"/>
        <w:jc w:val="both"/>
        <w:rPr>
          <w:rFonts w:asciiTheme="majorHAnsi" w:hAnsiTheme="majorHAnsi" w:cstheme="majorHAnsi"/>
          <w:sz w:val="20"/>
          <w:szCs w:val="20"/>
        </w:rPr>
      </w:pPr>
      <w:bookmarkStart w:id="3" w:name="_Toc228400931"/>
      <w:r w:rsidRPr="00377CFD">
        <w:rPr>
          <w:rFonts w:asciiTheme="majorHAnsi" w:hAnsiTheme="majorHAnsi" w:cstheme="majorHAnsi"/>
          <w:sz w:val="20"/>
          <w:szCs w:val="20"/>
        </w:rPr>
        <w:t>2.1 La Ley N° 19.404: Objeto, Beneficios y Articulado Clave</w:t>
      </w:r>
      <w:bookmarkEnd w:id="3"/>
    </w:p>
    <w:p w14:paraId="4007B7C5"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Ley N° 19.404, promulgada el 16 de agosto de 1995 por el Presidente Eduardo Frei Ruiz-Tagle, introdujo un sistema de protección previsional diferenciada para trabajadores que desempeñan labores cuya realización "acelera el desgaste físico, intelectual o síquico en la mayoría de quienes los realizan, provocando un envejecimiento precoz" (Art. 17 bis del D.L. N° 3.500 incorporado por la ley). Sus disposiciones han sido modificadas sucesivamente por las Leyes N° 20.255 (2008) y N° 20.984 (2017), y el reglamento actualizado por los Decretos N° 130/1996, N° 61/2005, N° 44/2010 y N° 49/2018.</w:t>
      </w:r>
    </w:p>
    <w:p w14:paraId="0321C5A8"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41A85D47" w14:textId="77777777" w:rsidR="008D3AF5" w:rsidRPr="00377CFD" w:rsidRDefault="00000000" w:rsidP="004726E2">
      <w:pPr>
        <w:pStyle w:val="Ttulo3"/>
        <w:jc w:val="both"/>
        <w:rPr>
          <w:rFonts w:asciiTheme="majorHAnsi" w:hAnsiTheme="majorHAnsi" w:cstheme="majorHAnsi"/>
          <w:sz w:val="20"/>
          <w:szCs w:val="20"/>
        </w:rPr>
      </w:pPr>
      <w:bookmarkStart w:id="4" w:name="_Toc228400932"/>
      <w:r w:rsidRPr="00377CFD">
        <w:rPr>
          <w:rFonts w:asciiTheme="majorHAnsi" w:hAnsiTheme="majorHAnsi" w:cstheme="majorHAnsi"/>
          <w:sz w:val="20"/>
          <w:szCs w:val="20"/>
        </w:rPr>
        <w:t>Beneficios concretos de la calificación (síntesis articulada)</w:t>
      </w:r>
      <w:bookmarkEnd w:id="4"/>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2144"/>
        <w:gridCol w:w="3960"/>
      </w:tblGrid>
      <w:tr w:rsidR="008D3AF5" w:rsidRPr="00377CFD" w14:paraId="6297DE60" w14:textId="77777777" w:rsidTr="00CD6708">
        <w:tc>
          <w:tcPr>
            <w:tcW w:w="3256" w:type="dxa"/>
            <w:tcBorders>
              <w:top w:val="single" w:sz="4" w:space="0" w:color="1B3A5C"/>
              <w:left w:val="single" w:sz="4" w:space="0" w:color="1B3A5C"/>
              <w:bottom w:val="single" w:sz="4" w:space="0" w:color="1B3A5C"/>
              <w:right w:val="single" w:sz="4" w:space="0" w:color="1B3A5C"/>
            </w:tcBorders>
            <w:shd w:val="clear" w:color="auto" w:fill="1B3A5C"/>
            <w:tcMar>
              <w:top w:w="80" w:type="dxa"/>
              <w:left w:w="120" w:type="dxa"/>
              <w:bottom w:w="80" w:type="dxa"/>
              <w:right w:w="120" w:type="dxa"/>
            </w:tcMar>
            <w:vAlign w:val="center"/>
          </w:tcPr>
          <w:p w14:paraId="730F3CD1" w14:textId="77777777" w:rsidR="008D3AF5" w:rsidRPr="00CD6708" w:rsidRDefault="00000000" w:rsidP="00137246">
            <w:pPr>
              <w:spacing w:line="276" w:lineRule="auto"/>
              <w:jc w:val="center"/>
              <w:rPr>
                <w:rFonts w:asciiTheme="majorHAnsi" w:hAnsiTheme="majorHAnsi" w:cstheme="majorHAnsi"/>
                <w:sz w:val="18"/>
                <w:szCs w:val="18"/>
              </w:rPr>
            </w:pPr>
            <w:r w:rsidRPr="00CD6708">
              <w:rPr>
                <w:rFonts w:asciiTheme="majorHAnsi" w:hAnsiTheme="majorHAnsi" w:cstheme="majorHAnsi"/>
                <w:b/>
                <w:bCs/>
                <w:color w:val="FFFFFF"/>
                <w:sz w:val="18"/>
                <w:szCs w:val="18"/>
              </w:rPr>
              <w:t>Beneficio</w:t>
            </w:r>
          </w:p>
        </w:tc>
        <w:tc>
          <w:tcPr>
            <w:tcW w:w="2144" w:type="dxa"/>
            <w:tcBorders>
              <w:top w:val="single" w:sz="4" w:space="0" w:color="1B3A5C"/>
              <w:left w:val="single" w:sz="4" w:space="0" w:color="1B3A5C"/>
              <w:bottom w:val="single" w:sz="4" w:space="0" w:color="1B3A5C"/>
              <w:right w:val="single" w:sz="4" w:space="0" w:color="1B3A5C"/>
            </w:tcBorders>
            <w:shd w:val="clear" w:color="auto" w:fill="1B3A5C"/>
            <w:tcMar>
              <w:top w:w="80" w:type="dxa"/>
              <w:left w:w="120" w:type="dxa"/>
              <w:bottom w:w="80" w:type="dxa"/>
              <w:right w:w="120" w:type="dxa"/>
            </w:tcMar>
            <w:vAlign w:val="center"/>
          </w:tcPr>
          <w:p w14:paraId="2A9D0E78" w14:textId="77777777" w:rsidR="008D3AF5" w:rsidRPr="00CD6708" w:rsidRDefault="00000000" w:rsidP="00137246">
            <w:pPr>
              <w:spacing w:line="276" w:lineRule="auto"/>
              <w:jc w:val="center"/>
              <w:rPr>
                <w:rFonts w:asciiTheme="majorHAnsi" w:hAnsiTheme="majorHAnsi" w:cstheme="majorHAnsi"/>
                <w:sz w:val="18"/>
                <w:szCs w:val="18"/>
              </w:rPr>
            </w:pPr>
            <w:r w:rsidRPr="00CD6708">
              <w:rPr>
                <w:rFonts w:asciiTheme="majorHAnsi" w:hAnsiTheme="majorHAnsi" w:cstheme="majorHAnsi"/>
                <w:b/>
                <w:bCs/>
                <w:color w:val="FFFFFF"/>
                <w:sz w:val="18"/>
                <w:szCs w:val="18"/>
              </w:rPr>
              <w:t>Norma habilitante</w:t>
            </w:r>
          </w:p>
        </w:tc>
        <w:tc>
          <w:tcPr>
            <w:tcW w:w="3960" w:type="dxa"/>
            <w:tcBorders>
              <w:top w:val="single" w:sz="4" w:space="0" w:color="1B3A5C"/>
              <w:left w:val="single" w:sz="4" w:space="0" w:color="1B3A5C"/>
              <w:bottom w:val="single" w:sz="4" w:space="0" w:color="1B3A5C"/>
              <w:right w:val="single" w:sz="4" w:space="0" w:color="1B3A5C"/>
            </w:tcBorders>
            <w:shd w:val="clear" w:color="auto" w:fill="1B3A5C"/>
            <w:tcMar>
              <w:top w:w="80" w:type="dxa"/>
              <w:left w:w="120" w:type="dxa"/>
              <w:bottom w:w="80" w:type="dxa"/>
              <w:right w:w="120" w:type="dxa"/>
            </w:tcMar>
            <w:vAlign w:val="center"/>
          </w:tcPr>
          <w:p w14:paraId="6640E4D6" w14:textId="77777777" w:rsidR="008D3AF5" w:rsidRPr="00CD6708" w:rsidRDefault="00000000" w:rsidP="00137246">
            <w:pPr>
              <w:spacing w:line="276" w:lineRule="auto"/>
              <w:jc w:val="center"/>
              <w:rPr>
                <w:rFonts w:asciiTheme="majorHAnsi" w:hAnsiTheme="majorHAnsi" w:cstheme="majorHAnsi"/>
                <w:sz w:val="18"/>
                <w:szCs w:val="18"/>
              </w:rPr>
            </w:pPr>
            <w:r w:rsidRPr="00CD6708">
              <w:rPr>
                <w:rFonts w:asciiTheme="majorHAnsi" w:hAnsiTheme="majorHAnsi" w:cstheme="majorHAnsi"/>
                <w:b/>
                <w:bCs/>
                <w:color w:val="FFFFFF"/>
                <w:sz w:val="18"/>
                <w:szCs w:val="18"/>
              </w:rPr>
              <w:t>Condición / alcance</w:t>
            </w:r>
          </w:p>
        </w:tc>
      </w:tr>
      <w:tr w:rsidR="008D3AF5" w:rsidRPr="00377CFD" w14:paraId="05A66F01" w14:textId="77777777" w:rsidTr="00CD6708">
        <w:tc>
          <w:tcPr>
            <w:tcW w:w="3256"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2B0478A3" w14:textId="77777777" w:rsidR="00E83A68"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Sobrecotización 2% trabajador</w:t>
            </w:r>
          </w:p>
          <w:p w14:paraId="773AF3A5" w14:textId="6594CF51"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+ 2% empleador</w:t>
            </w:r>
          </w:p>
        </w:tc>
        <w:tc>
          <w:tcPr>
            <w:tcW w:w="2144"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2BA1FAED"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Art. 17 bis D.L. 3.500</w:t>
            </w:r>
          </w:p>
        </w:tc>
        <w:tc>
          <w:tcPr>
            <w:tcW w:w="396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002424DA"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Cotización en cuenta capitalización individual desde ejecutoría del dictamen</w:t>
            </w:r>
          </w:p>
        </w:tc>
      </w:tr>
      <w:tr w:rsidR="008D3AF5" w:rsidRPr="00377CFD" w14:paraId="5C356149" w14:textId="77777777" w:rsidTr="00CD6708">
        <w:tc>
          <w:tcPr>
            <w:tcW w:w="3256"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vAlign w:val="center"/>
          </w:tcPr>
          <w:p w14:paraId="200D350F" w14:textId="77777777" w:rsid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Reducción cotización al 1%+1%</w:t>
            </w:r>
          </w:p>
          <w:p w14:paraId="5CFD287E" w14:textId="35B94981"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(menor desgaste)</w:t>
            </w:r>
          </w:p>
        </w:tc>
        <w:tc>
          <w:tcPr>
            <w:tcW w:w="2144"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vAlign w:val="center"/>
          </w:tcPr>
          <w:p w14:paraId="77075BA6" w14:textId="77777777" w:rsidR="008D3AF5" w:rsidRPr="00CD6708" w:rsidRDefault="00000000" w:rsidP="004726E2">
            <w:pPr>
              <w:spacing w:line="276" w:lineRule="auto"/>
              <w:jc w:val="both"/>
              <w:rPr>
                <w:rFonts w:asciiTheme="majorHAnsi" w:hAnsiTheme="majorHAnsi" w:cstheme="majorHAnsi"/>
                <w:sz w:val="18"/>
                <w:szCs w:val="18"/>
                <w:lang w:val="en-US"/>
              </w:rPr>
            </w:pPr>
            <w:r w:rsidRPr="00CD6708">
              <w:rPr>
                <w:rFonts w:asciiTheme="majorHAnsi" w:hAnsiTheme="majorHAnsi" w:cstheme="majorHAnsi"/>
                <w:color w:val="1A1A1A"/>
                <w:sz w:val="18"/>
                <w:szCs w:val="18"/>
                <w:lang w:val="en-US"/>
              </w:rPr>
              <w:t>Art. 17 bis inc. 7° / Art. 10 c) D.S. 71</w:t>
            </w:r>
          </w:p>
        </w:tc>
        <w:tc>
          <w:tcPr>
            <w:tcW w:w="396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vAlign w:val="center"/>
          </w:tcPr>
          <w:p w14:paraId="7053DC3F"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La CEN puede rebajarla al calificar; criterio: menor desgaste relativo</w:t>
            </w:r>
          </w:p>
        </w:tc>
      </w:tr>
      <w:tr w:rsidR="008D3AF5" w:rsidRPr="00377CFD" w14:paraId="2D34FC58" w14:textId="77777777" w:rsidTr="00CD6708">
        <w:tc>
          <w:tcPr>
            <w:tcW w:w="3256"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3C1427D4" w14:textId="77777777" w:rsidR="00E83A68"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Rebaja edad pensión vejez</w:t>
            </w:r>
          </w:p>
          <w:p w14:paraId="2D9E6B78" w14:textId="77777777" w:rsid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(DL 3.500): 2 años/5 años</w:t>
            </w:r>
          </w:p>
          <w:p w14:paraId="06E205DD" w14:textId="318DA1A1"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cotizando al 2%</w:t>
            </w:r>
          </w:p>
        </w:tc>
        <w:tc>
          <w:tcPr>
            <w:tcW w:w="2144"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2807A8AF"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Art. 68 bis D.L. 3.500</w:t>
            </w:r>
          </w:p>
        </w:tc>
        <w:tc>
          <w:tcPr>
            <w:tcW w:w="396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019DDAB1" w14:textId="77777777" w:rsidR="00E83A68"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Máx. 10 años reducción.</w:t>
            </w:r>
          </w:p>
          <w:p w14:paraId="31D4B664" w14:textId="77777777" w:rsidR="00E83A68"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Si cotización = 1%: 1 año/5 años,</w:t>
            </w:r>
          </w:p>
          <w:p w14:paraId="48DEFA4B" w14:textId="4865E628"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máx. 5 años</w:t>
            </w:r>
          </w:p>
        </w:tc>
      </w:tr>
      <w:tr w:rsidR="008D3AF5" w:rsidRPr="00377CFD" w14:paraId="3786A991" w14:textId="77777777" w:rsidTr="00CD6708">
        <w:tc>
          <w:tcPr>
            <w:tcW w:w="3256"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vAlign w:val="center"/>
          </w:tcPr>
          <w:p w14:paraId="3A20783D" w14:textId="77777777" w:rsidR="00E83A68"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Rebaja edad pensión vejez (IPS/Ex-INP):</w:t>
            </w:r>
          </w:p>
          <w:p w14:paraId="64C1816D" w14:textId="0AB182E5"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regla general 1 año/5 años</w:t>
            </w:r>
          </w:p>
        </w:tc>
        <w:tc>
          <w:tcPr>
            <w:tcW w:w="2144"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vAlign w:val="center"/>
          </w:tcPr>
          <w:p w14:paraId="4095B54F" w14:textId="77777777" w:rsidR="00E83A68"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Art. 2° Ley 19.404</w:t>
            </w:r>
          </w:p>
          <w:p w14:paraId="6E8F1B0C" w14:textId="4A597390"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inc. 1°</w:t>
            </w:r>
          </w:p>
        </w:tc>
        <w:tc>
          <w:tcPr>
            <w:tcW w:w="396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vAlign w:val="center"/>
          </w:tcPr>
          <w:p w14:paraId="68CAA814" w14:textId="77777777" w:rsidR="00E83A68"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Máx. 5 años.</w:t>
            </w:r>
          </w:p>
          <w:p w14:paraId="030D7D25" w14:textId="419F0286"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Requiere mínimo 23 años de cotizaciones</w:t>
            </w:r>
          </w:p>
        </w:tc>
      </w:tr>
      <w:tr w:rsidR="008D3AF5" w:rsidRPr="00377CFD" w14:paraId="6DF6711A" w14:textId="77777777" w:rsidTr="00CD6708">
        <w:tc>
          <w:tcPr>
            <w:tcW w:w="3256"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4423F133"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Rebaja edad pensión vejez (IPS): MINAS Y FUNDICIONES 2 años/5 años</w:t>
            </w:r>
          </w:p>
        </w:tc>
        <w:tc>
          <w:tcPr>
            <w:tcW w:w="2144"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4844BF46" w14:textId="77777777" w:rsidR="00E83A68"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Art. 2° Ley 19.404</w:t>
            </w:r>
          </w:p>
          <w:p w14:paraId="31E913FC" w14:textId="106AB8C6"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inc. 1° parte final</w:t>
            </w:r>
          </w:p>
        </w:tc>
        <w:tc>
          <w:tcPr>
            <w:tcW w:w="396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68DDD8C1" w14:textId="77777777" w:rsidR="00E83A68"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Máx. 10 años.</w:t>
            </w:r>
          </w:p>
          <w:p w14:paraId="040F2DDE" w14:textId="77777777" w:rsidR="00E83A68"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Requiere 23 años cotizaciones.</w:t>
            </w:r>
          </w:p>
          <w:p w14:paraId="55B077F2" w14:textId="555F46EF"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REGLA ESPECIAL MINERÍA</w:t>
            </w:r>
          </w:p>
        </w:tc>
      </w:tr>
      <w:tr w:rsidR="008D3AF5" w:rsidRPr="00377CFD" w14:paraId="6D404013" w14:textId="77777777" w:rsidTr="00CD6708">
        <w:tc>
          <w:tcPr>
            <w:tcW w:w="3256"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vAlign w:val="center"/>
          </w:tcPr>
          <w:p w14:paraId="225DEBC2"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Programa de vigilancia de salud (MUTUAL/IST/ACHS)</w:t>
            </w:r>
          </w:p>
        </w:tc>
        <w:tc>
          <w:tcPr>
            <w:tcW w:w="2144"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vAlign w:val="center"/>
          </w:tcPr>
          <w:p w14:paraId="082A27F4" w14:textId="77777777" w:rsidR="008D3AF5" w:rsidRPr="00CD6708" w:rsidRDefault="00000000" w:rsidP="004726E2">
            <w:pPr>
              <w:spacing w:line="276" w:lineRule="auto"/>
              <w:jc w:val="both"/>
              <w:rPr>
                <w:rFonts w:asciiTheme="majorHAnsi" w:hAnsiTheme="majorHAnsi" w:cstheme="majorHAnsi"/>
                <w:sz w:val="18"/>
                <w:szCs w:val="18"/>
                <w:lang w:val="en-US"/>
              </w:rPr>
            </w:pPr>
            <w:r w:rsidRPr="00CD6708">
              <w:rPr>
                <w:rFonts w:asciiTheme="majorHAnsi" w:hAnsiTheme="majorHAnsi" w:cstheme="majorHAnsi"/>
                <w:color w:val="1A1A1A"/>
                <w:sz w:val="18"/>
                <w:szCs w:val="18"/>
                <w:lang w:val="en-US"/>
              </w:rPr>
              <w:t>Art. 28 inc. 4° D.S. 71 (mod. D.49/2018)</w:t>
            </w:r>
          </w:p>
        </w:tc>
        <w:tc>
          <w:tcPr>
            <w:tcW w:w="396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vAlign w:val="center"/>
          </w:tcPr>
          <w:p w14:paraId="544B7123"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Empleador debe incorporar al trabajador al programa del OAL respectivo</w:t>
            </w:r>
          </w:p>
        </w:tc>
      </w:tr>
      <w:tr w:rsidR="008D3AF5" w:rsidRPr="00377CFD" w14:paraId="13F8EA41" w14:textId="77777777" w:rsidTr="00CD6708">
        <w:tc>
          <w:tcPr>
            <w:tcW w:w="3256"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54E71C7A"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Extensión a subcontratistas y transitorios</w:t>
            </w:r>
          </w:p>
        </w:tc>
        <w:tc>
          <w:tcPr>
            <w:tcW w:w="2144"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413C4CA9" w14:textId="77777777" w:rsidR="008D3AF5" w:rsidRPr="00CD6708" w:rsidRDefault="00000000" w:rsidP="004726E2">
            <w:pPr>
              <w:spacing w:line="276" w:lineRule="auto"/>
              <w:jc w:val="both"/>
              <w:rPr>
                <w:rFonts w:asciiTheme="majorHAnsi" w:hAnsiTheme="majorHAnsi" w:cstheme="majorHAnsi"/>
                <w:sz w:val="18"/>
                <w:szCs w:val="18"/>
                <w:lang w:val="en-US"/>
              </w:rPr>
            </w:pPr>
            <w:r w:rsidRPr="00CD6708">
              <w:rPr>
                <w:rFonts w:asciiTheme="majorHAnsi" w:hAnsiTheme="majorHAnsi" w:cstheme="majorHAnsi"/>
                <w:color w:val="1A1A1A"/>
                <w:sz w:val="18"/>
                <w:szCs w:val="18"/>
                <w:lang w:val="en-US"/>
              </w:rPr>
              <w:t>Art. 3° bis Ley 19.404 / Art. 3 bis D.S. 71</w:t>
            </w:r>
          </w:p>
        </w:tc>
        <w:tc>
          <w:tcPr>
            <w:tcW w:w="396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vAlign w:val="center"/>
          </w:tcPr>
          <w:p w14:paraId="4155CF27"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La calificación del puesto cubre a todos los trabajadores que lo sirven</w:t>
            </w:r>
          </w:p>
        </w:tc>
      </w:tr>
    </w:tbl>
    <w:p w14:paraId="4F3F8658"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5311C9CA"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La regla especial del Art. 2° para minas y fundiciones es crítica: </w:t>
      </w:r>
      <w:r w:rsidRPr="00377CFD">
        <w:rPr>
          <w:rFonts w:asciiTheme="majorHAnsi" w:hAnsiTheme="majorHAnsi" w:cstheme="majorHAnsi"/>
          <w:color w:val="1A1A1A"/>
          <w:sz w:val="20"/>
          <w:szCs w:val="20"/>
        </w:rPr>
        <w:t>por cada 5 años en labores pesadas de minas o fundiciones, el trabajador IPS reduce 2 años su edad de jubilación, con un máximo de 10 años. Esto significa que un trabajador con 20 años en faenas mineras calificadas puede jubilarse hasta una década antes. Sin la calificación vigente, este derecho es inaplicable en la práctica.</w:t>
      </w:r>
    </w:p>
    <w:p w14:paraId="6C7732D5" w14:textId="154035A7" w:rsidR="00E83A68" w:rsidRPr="00377CFD" w:rsidRDefault="00000000" w:rsidP="004726E2">
      <w:pPr>
        <w:spacing w:after="100"/>
        <w:jc w:val="both"/>
        <w:rPr>
          <w:rFonts w:asciiTheme="majorHAnsi" w:hAnsiTheme="majorHAnsi" w:cstheme="majorHAnsi"/>
          <w:color w:val="1A1A1A"/>
          <w:sz w:val="20"/>
          <w:szCs w:val="20"/>
        </w:rPr>
      </w:pPr>
      <w:r w:rsidRPr="00377CFD">
        <w:rPr>
          <w:rFonts w:asciiTheme="majorHAnsi" w:hAnsiTheme="majorHAnsi" w:cstheme="majorHAnsi"/>
          <w:color w:val="1A1A1A"/>
          <w:sz w:val="20"/>
          <w:szCs w:val="20"/>
        </w:rPr>
        <w:t xml:space="preserve"> </w:t>
      </w:r>
    </w:p>
    <w:p w14:paraId="5B56FFA3" w14:textId="77777777" w:rsidR="00E83A68" w:rsidRPr="00377CFD" w:rsidRDefault="00E83A68">
      <w:pPr>
        <w:rPr>
          <w:rFonts w:asciiTheme="majorHAnsi" w:hAnsiTheme="majorHAnsi" w:cstheme="majorHAnsi"/>
          <w:color w:val="1A1A1A"/>
          <w:sz w:val="20"/>
          <w:szCs w:val="20"/>
        </w:rPr>
      </w:pPr>
      <w:r w:rsidRPr="00377CFD">
        <w:rPr>
          <w:rFonts w:asciiTheme="majorHAnsi" w:hAnsiTheme="majorHAnsi" w:cstheme="majorHAnsi"/>
          <w:color w:val="1A1A1A"/>
          <w:sz w:val="20"/>
          <w:szCs w:val="20"/>
        </w:rPr>
        <w:br w:type="page"/>
      </w:r>
    </w:p>
    <w:p w14:paraId="33E5F729" w14:textId="77777777" w:rsidR="008D3AF5" w:rsidRPr="00377CFD" w:rsidRDefault="00000000" w:rsidP="004726E2">
      <w:pPr>
        <w:pStyle w:val="Ttulo2"/>
        <w:jc w:val="both"/>
        <w:rPr>
          <w:rFonts w:asciiTheme="majorHAnsi" w:hAnsiTheme="majorHAnsi" w:cstheme="majorHAnsi"/>
          <w:sz w:val="20"/>
          <w:szCs w:val="20"/>
        </w:rPr>
      </w:pPr>
      <w:bookmarkStart w:id="5" w:name="_Toc228400933"/>
      <w:r w:rsidRPr="00377CFD">
        <w:rPr>
          <w:rFonts w:asciiTheme="majorHAnsi" w:hAnsiTheme="majorHAnsi" w:cstheme="majorHAnsi"/>
          <w:sz w:val="20"/>
          <w:szCs w:val="20"/>
        </w:rPr>
        <w:lastRenderedPageBreak/>
        <w:t>2.2 El Decreto N° 71: El Procedimiento Ante la CEN Artículo por Artículo</w:t>
      </w:r>
      <w:bookmarkEnd w:id="5"/>
    </w:p>
    <w:p w14:paraId="1847BB62"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El D.S. N° 71 de 25 de marzo de 1996, con sus cuatro modificaciones posteriores, estructura un procedimiento de calificación que en la práctica supera largamente los plazos formales establecidos. El análisis articulado revela sus debilidades intrínsecas:</w:t>
      </w:r>
    </w:p>
    <w:tbl>
      <w:tblPr>
        <w:tblStyle w:val="a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3969"/>
        <w:gridCol w:w="4394"/>
      </w:tblGrid>
      <w:tr w:rsidR="008D3AF5" w:rsidRPr="00377CFD" w14:paraId="36BAB7FE" w14:textId="77777777" w:rsidTr="00377CFD">
        <w:tc>
          <w:tcPr>
            <w:tcW w:w="1271" w:type="dxa"/>
            <w:tcBorders>
              <w:top w:val="single" w:sz="4" w:space="0" w:color="1B3A5C"/>
              <w:left w:val="single" w:sz="4" w:space="0" w:color="1B3A5C"/>
              <w:bottom w:val="single" w:sz="4" w:space="0" w:color="1B3A5C"/>
              <w:right w:val="single" w:sz="4" w:space="0" w:color="1B3A5C"/>
            </w:tcBorders>
            <w:shd w:val="clear" w:color="auto" w:fill="1B3A5C"/>
            <w:tcMar>
              <w:top w:w="80" w:type="dxa"/>
              <w:left w:w="120" w:type="dxa"/>
              <w:bottom w:w="80" w:type="dxa"/>
              <w:right w:w="120" w:type="dxa"/>
            </w:tcMar>
          </w:tcPr>
          <w:p w14:paraId="13964715" w14:textId="77777777" w:rsidR="008D3AF5" w:rsidRPr="00377CFD" w:rsidRDefault="00000000" w:rsidP="00E83A68">
            <w:pPr>
              <w:spacing w:line="276" w:lineRule="auto"/>
              <w:jc w:val="center"/>
              <w:rPr>
                <w:rFonts w:asciiTheme="majorHAnsi" w:hAnsiTheme="majorHAnsi" w:cstheme="majorHAnsi"/>
                <w:sz w:val="18"/>
                <w:szCs w:val="18"/>
              </w:rPr>
            </w:pPr>
            <w:r w:rsidRPr="00377CFD">
              <w:rPr>
                <w:rFonts w:asciiTheme="majorHAnsi" w:hAnsiTheme="majorHAnsi" w:cstheme="majorHAnsi"/>
                <w:b/>
                <w:bCs/>
                <w:color w:val="FFFFFF"/>
                <w:sz w:val="18"/>
                <w:szCs w:val="18"/>
              </w:rPr>
              <w:t>Artículo(s)</w:t>
            </w:r>
          </w:p>
        </w:tc>
        <w:tc>
          <w:tcPr>
            <w:tcW w:w="3969" w:type="dxa"/>
            <w:tcBorders>
              <w:top w:val="single" w:sz="4" w:space="0" w:color="1B3A5C"/>
              <w:left w:val="single" w:sz="4" w:space="0" w:color="1B3A5C"/>
              <w:bottom w:val="single" w:sz="4" w:space="0" w:color="1B3A5C"/>
              <w:right w:val="single" w:sz="4" w:space="0" w:color="1B3A5C"/>
            </w:tcBorders>
            <w:shd w:val="clear" w:color="auto" w:fill="1B3A5C"/>
            <w:tcMar>
              <w:top w:w="80" w:type="dxa"/>
              <w:left w:w="120" w:type="dxa"/>
              <w:bottom w:w="80" w:type="dxa"/>
              <w:right w:w="120" w:type="dxa"/>
            </w:tcMar>
          </w:tcPr>
          <w:p w14:paraId="0731A0BD" w14:textId="77777777" w:rsidR="008D3AF5" w:rsidRPr="00377CFD" w:rsidRDefault="00000000" w:rsidP="00E83A68">
            <w:pPr>
              <w:spacing w:line="276" w:lineRule="auto"/>
              <w:jc w:val="center"/>
              <w:rPr>
                <w:rFonts w:asciiTheme="majorHAnsi" w:hAnsiTheme="majorHAnsi" w:cstheme="majorHAnsi"/>
                <w:sz w:val="18"/>
                <w:szCs w:val="18"/>
              </w:rPr>
            </w:pPr>
            <w:r w:rsidRPr="00377CFD">
              <w:rPr>
                <w:rFonts w:asciiTheme="majorHAnsi" w:hAnsiTheme="majorHAnsi" w:cstheme="majorHAnsi"/>
                <w:b/>
                <w:bCs/>
                <w:color w:val="FFFFFF"/>
                <w:sz w:val="18"/>
                <w:szCs w:val="18"/>
              </w:rPr>
              <w:t>Disposición relevante</w:t>
            </w:r>
          </w:p>
        </w:tc>
        <w:tc>
          <w:tcPr>
            <w:tcW w:w="4394" w:type="dxa"/>
            <w:tcBorders>
              <w:top w:val="single" w:sz="4" w:space="0" w:color="1B3A5C"/>
              <w:left w:val="single" w:sz="4" w:space="0" w:color="1B3A5C"/>
              <w:bottom w:val="single" w:sz="4" w:space="0" w:color="1B3A5C"/>
              <w:right w:val="single" w:sz="4" w:space="0" w:color="1B3A5C"/>
            </w:tcBorders>
            <w:shd w:val="clear" w:color="auto" w:fill="1B3A5C"/>
            <w:tcMar>
              <w:top w:w="80" w:type="dxa"/>
              <w:left w:w="120" w:type="dxa"/>
              <w:bottom w:w="80" w:type="dxa"/>
              <w:right w:w="120" w:type="dxa"/>
            </w:tcMar>
          </w:tcPr>
          <w:p w14:paraId="15F0174E" w14:textId="77777777" w:rsidR="008D3AF5" w:rsidRPr="00377CFD" w:rsidRDefault="00000000" w:rsidP="00E83A68">
            <w:pPr>
              <w:spacing w:line="276" w:lineRule="auto"/>
              <w:jc w:val="center"/>
              <w:rPr>
                <w:rFonts w:asciiTheme="majorHAnsi" w:hAnsiTheme="majorHAnsi" w:cstheme="majorHAnsi"/>
                <w:sz w:val="18"/>
                <w:szCs w:val="18"/>
              </w:rPr>
            </w:pPr>
            <w:r w:rsidRPr="00377CFD">
              <w:rPr>
                <w:rFonts w:asciiTheme="majorHAnsi" w:hAnsiTheme="majorHAnsi" w:cstheme="majorHAnsi"/>
                <w:b/>
                <w:bCs/>
                <w:color w:val="FFFFFF"/>
                <w:sz w:val="18"/>
                <w:szCs w:val="18"/>
              </w:rPr>
              <w:t>Problema en contexto minero</w:t>
            </w:r>
          </w:p>
        </w:tc>
      </w:tr>
      <w:tr w:rsidR="008D3AF5" w:rsidRPr="00377CFD" w14:paraId="586337EE" w14:textId="77777777" w:rsidTr="00377CFD">
        <w:tc>
          <w:tcPr>
            <w:tcW w:w="1271"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34316F01"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Arts. 1°-3°</w:t>
            </w:r>
          </w:p>
        </w:tc>
        <w:tc>
          <w:tcPr>
            <w:tcW w:w="3969"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677C4A22"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Definición de trabajo pesado: acelera desgaste físico, intelectual o psíquico provocando envejecimiento precoz. Cuatro factores de evaluación: físico, ambiental, mental, organizacional.</w:t>
            </w:r>
          </w:p>
        </w:tc>
        <w:tc>
          <w:tcPr>
            <w:tcW w:w="4394"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2634F336"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La definición es amplia y correcta, pero su aplicación concreta recae 100% en el criterio técnico de la CEN sin umbrales objetivos predeterminados. Minería tiene condiciones que son intrínsecamente más graves que cualquier umbral razonable.</w:t>
            </w:r>
          </w:p>
        </w:tc>
      </w:tr>
      <w:tr w:rsidR="008D3AF5" w:rsidRPr="00377CFD" w14:paraId="47CC5560" w14:textId="77777777" w:rsidTr="00377CFD">
        <w:tc>
          <w:tcPr>
            <w:tcW w:w="1271"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71659314"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Arts. 4°-10°</w:t>
            </w:r>
          </w:p>
        </w:tc>
        <w:tc>
          <w:tcPr>
            <w:tcW w:w="3969"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60C85C80"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Composición CEN: 7 miembros (médico ocupacional presidente, traumatólogo, ing. prevención, ing. higiene industrial, ergónomo, representante sindical, representante empresarial). Funciones: calificar, rebajar cotización, confeccionar listas actualizadas.</w:t>
            </w:r>
          </w:p>
        </w:tc>
        <w:tc>
          <w:tcPr>
            <w:tcW w:w="4394"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01918C9F"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La CEN sesiona ordinariamente 1 vez por semana (Art. 11°). Con el volumen de solicitudes del sector, el cuello de botella es estructural. No existe panel regional ni delegación territorial.</w:t>
            </w:r>
          </w:p>
        </w:tc>
      </w:tr>
      <w:tr w:rsidR="008D3AF5" w:rsidRPr="00377CFD" w14:paraId="56188481" w14:textId="77777777" w:rsidTr="00377CFD">
        <w:tc>
          <w:tcPr>
            <w:tcW w:w="1271"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04F424C3"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Arts. 11°-15°</w:t>
            </w:r>
          </w:p>
        </w:tc>
        <w:tc>
          <w:tcPr>
            <w:tcW w:w="3969"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25330676"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Quórum 2/3 de miembros + al menos 3 titulares. Dictámenes por mayoría absoluta. Actas firmadas por todos.</w:t>
            </w:r>
          </w:p>
        </w:tc>
        <w:tc>
          <w:tcPr>
            <w:tcW w:w="4394"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318BAA7E"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El quórum exigido impone fragilidad operativa: la inasistencia de uno o dos titulares puede impedir sesionar. En práctica, sesiones se han pospuesto reiteradamente.</w:t>
            </w:r>
          </w:p>
        </w:tc>
      </w:tr>
      <w:tr w:rsidR="008D3AF5" w:rsidRPr="00377CFD" w14:paraId="60CA6CD2" w14:textId="77777777" w:rsidTr="00377CFD">
        <w:tc>
          <w:tcPr>
            <w:tcW w:w="1271"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05A035D0"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Arts. 22°-27°</w:t>
            </w:r>
          </w:p>
        </w:tc>
        <w:tc>
          <w:tcPr>
            <w:tcW w:w="3969"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6E3D2415"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eastAsia="Arial Unicode MS" w:hAnsiTheme="majorHAnsi" w:cstheme="majorHAnsi"/>
                <w:color w:val="1A1A1A"/>
                <w:sz w:val="18"/>
                <w:szCs w:val="18"/>
              </w:rPr>
              <w:t>Procedimiento: solicitud con certificado empleador → recepción SEREMI/Superintendencia → remisión CEN (5 días) → evaluación 60 días prorrogables indefinidamente ante solicitud de informes complementarios → posibilidad de visita in situ, peritos, interconsultores.</w:t>
            </w:r>
          </w:p>
        </w:tc>
        <w:tc>
          <w:tcPr>
            <w:tcW w:w="4394"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3A9E2A52"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El plazo de 60 días del Art. 25° se suspende cada vez que se solicitan informes adicionales. En faenas remotas (&gt;4.000 msnm, altiplano), la visita in situ puede demorar meses adicionales por logística, acceso y condiciones climáticas. No existe plazo máximo absoluto.</w:t>
            </w:r>
          </w:p>
        </w:tc>
      </w:tr>
      <w:tr w:rsidR="008D3AF5" w:rsidRPr="00377CFD" w14:paraId="2D65D190" w14:textId="77777777" w:rsidTr="00377CFD">
        <w:tc>
          <w:tcPr>
            <w:tcW w:w="1271"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50BD96BF"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Art. 28°</w:t>
            </w:r>
          </w:p>
        </w:tc>
        <w:tc>
          <w:tcPr>
            <w:tcW w:w="3969"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144CEACA"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Notificación por carta certificada; dictamen ejecutoriado al vencimiento del plazo de reclamo o resolución de Apelaciones. La resolución se remite al OAL en 5 días.</w:t>
            </w:r>
          </w:p>
        </w:tc>
        <w:tc>
          <w:tcPr>
            <w:tcW w:w="4394"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65D81335"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El efecto de la cotización solo corre desde el mes siguiente a la ejecutoría (Art. 17 bis D.L. 3.500). Si el proceso tomó 24 meses, el trabajador perdió 24 meses de cotizaciones adicionales que no son retroactivas.</w:t>
            </w:r>
          </w:p>
        </w:tc>
      </w:tr>
      <w:tr w:rsidR="008D3AF5" w:rsidRPr="00377CFD" w14:paraId="09E3B346" w14:textId="77777777" w:rsidTr="00377CFD">
        <w:tc>
          <w:tcPr>
            <w:tcW w:w="1271"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36255E13"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Art. 29°-30°</w:t>
            </w:r>
          </w:p>
        </w:tc>
        <w:tc>
          <w:tcPr>
            <w:tcW w:w="3969"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5296D3CC"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Recurso de apelación ante Comisión de Apelaciones: 30 días hábiles. Esta Comisión tiene 15 días hábiles para resolver.</w:t>
            </w:r>
          </w:p>
        </w:tc>
        <w:tc>
          <w:tcPr>
            <w:tcW w:w="4394"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7F480B3A"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En minería, los dictámenes negativos tienen alta tasa de apelación (estimada 35-45%), sobrecargando la Comisión de Apelaciones y duplicando el tiempo efectivo de resolución.</w:t>
            </w:r>
          </w:p>
        </w:tc>
      </w:tr>
      <w:tr w:rsidR="008D3AF5" w:rsidRPr="00377CFD" w14:paraId="1757188E" w14:textId="77777777" w:rsidTr="00377CFD">
        <w:tc>
          <w:tcPr>
            <w:tcW w:w="1271"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6A0C64C2" w14:textId="77777777" w:rsidR="00377CFD" w:rsidRPr="00377CFD" w:rsidRDefault="00000000" w:rsidP="004726E2">
            <w:pPr>
              <w:spacing w:line="276" w:lineRule="auto"/>
              <w:jc w:val="both"/>
              <w:rPr>
                <w:rFonts w:asciiTheme="majorHAnsi" w:hAnsiTheme="majorHAnsi" w:cstheme="majorHAnsi"/>
                <w:color w:val="1A1A1A"/>
                <w:sz w:val="18"/>
                <w:szCs w:val="18"/>
              </w:rPr>
            </w:pPr>
            <w:r w:rsidRPr="00377CFD">
              <w:rPr>
                <w:rFonts w:asciiTheme="majorHAnsi" w:hAnsiTheme="majorHAnsi" w:cstheme="majorHAnsi"/>
                <w:color w:val="1A1A1A"/>
                <w:sz w:val="18"/>
                <w:szCs w:val="18"/>
              </w:rPr>
              <w:t>Art. 18°</w:t>
            </w:r>
          </w:p>
          <w:p w14:paraId="7F613A00" w14:textId="788259CA"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(implícito)</w:t>
            </w:r>
          </w:p>
        </w:tc>
        <w:tc>
          <w:tcPr>
            <w:tcW w:w="3969"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4FFB0D55"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Vigencia de la calificación: La ley no fija plazo expreso. Por práctica de la CEN, se ha entendido que las calificaciones tienen vigencia indefinida salvo que cambien los factores evaluados (Art. 3 bis final D.S. 71). Sin embargo, muchas empresas no notifican cambios y los registros se desactualizan.</w:t>
            </w:r>
          </w:p>
        </w:tc>
        <w:tc>
          <w:tcPr>
            <w:tcW w:w="4394"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6D3B4F1E" w14:textId="77777777" w:rsidR="008D3AF5" w:rsidRPr="00377CFD" w:rsidRDefault="00000000" w:rsidP="004726E2">
            <w:pPr>
              <w:spacing w:line="276" w:lineRule="auto"/>
              <w:jc w:val="both"/>
              <w:rPr>
                <w:rFonts w:asciiTheme="majorHAnsi" w:hAnsiTheme="majorHAnsi" w:cstheme="majorHAnsi"/>
                <w:sz w:val="18"/>
                <w:szCs w:val="18"/>
              </w:rPr>
            </w:pPr>
            <w:r w:rsidRPr="00377CFD">
              <w:rPr>
                <w:rFonts w:asciiTheme="majorHAnsi" w:hAnsiTheme="majorHAnsi" w:cstheme="majorHAnsi"/>
                <w:color w:val="1A1A1A"/>
                <w:sz w:val="18"/>
                <w:szCs w:val="18"/>
              </w:rPr>
              <w:t>Las empresas con alta rotación de personal (contratistas mineros) no renuevan oportunamente los registros, generando trabajadores que operan en puestos pesados sin cobertura activa.</w:t>
            </w:r>
          </w:p>
        </w:tc>
      </w:tr>
    </w:tbl>
    <w:p w14:paraId="0355AD5F" w14:textId="7CBB46C5" w:rsidR="00377CFD" w:rsidRDefault="00000000" w:rsidP="004726E2">
      <w:pPr>
        <w:spacing w:after="100"/>
        <w:jc w:val="both"/>
        <w:rPr>
          <w:rFonts w:asciiTheme="majorHAnsi" w:hAnsiTheme="majorHAnsi" w:cstheme="majorHAnsi"/>
          <w:color w:val="1A1A1A"/>
          <w:sz w:val="20"/>
          <w:szCs w:val="20"/>
        </w:rPr>
      </w:pPr>
      <w:r w:rsidRPr="00377CFD">
        <w:rPr>
          <w:rFonts w:asciiTheme="majorHAnsi" w:hAnsiTheme="majorHAnsi" w:cstheme="majorHAnsi"/>
          <w:color w:val="1A1A1A"/>
          <w:sz w:val="20"/>
          <w:szCs w:val="20"/>
        </w:rPr>
        <w:t xml:space="preserve"> </w:t>
      </w:r>
    </w:p>
    <w:p w14:paraId="3796EC20" w14:textId="77777777" w:rsidR="00377CFD" w:rsidRDefault="00377CFD">
      <w:pPr>
        <w:rPr>
          <w:rFonts w:asciiTheme="majorHAnsi" w:hAnsiTheme="majorHAnsi" w:cstheme="majorHAnsi"/>
          <w:color w:val="1A1A1A"/>
          <w:sz w:val="20"/>
          <w:szCs w:val="20"/>
        </w:rPr>
      </w:pPr>
      <w:r>
        <w:rPr>
          <w:rFonts w:asciiTheme="majorHAnsi" w:hAnsiTheme="majorHAnsi" w:cstheme="majorHAnsi"/>
          <w:color w:val="1A1A1A"/>
          <w:sz w:val="20"/>
          <w:szCs w:val="20"/>
        </w:rPr>
        <w:br w:type="page"/>
      </w:r>
    </w:p>
    <w:p w14:paraId="08E8C851" w14:textId="77777777" w:rsidR="008D3AF5" w:rsidRPr="00377CFD" w:rsidRDefault="00000000" w:rsidP="004726E2">
      <w:pPr>
        <w:pStyle w:val="Ttulo2"/>
        <w:jc w:val="both"/>
        <w:rPr>
          <w:rFonts w:asciiTheme="majorHAnsi" w:hAnsiTheme="majorHAnsi" w:cstheme="majorHAnsi"/>
          <w:sz w:val="20"/>
          <w:szCs w:val="20"/>
        </w:rPr>
      </w:pPr>
      <w:bookmarkStart w:id="6" w:name="_Toc228400934"/>
      <w:r w:rsidRPr="00377CFD">
        <w:rPr>
          <w:rFonts w:asciiTheme="majorHAnsi" w:hAnsiTheme="majorHAnsi" w:cstheme="majorHAnsi"/>
          <w:sz w:val="20"/>
          <w:szCs w:val="20"/>
        </w:rPr>
        <w:lastRenderedPageBreak/>
        <w:t>2.3 Seis Fricciones Estructurales que Bloquean la Calificación Minera</w:t>
      </w:r>
      <w:bookmarkEnd w:id="6"/>
    </w:p>
    <w:p w14:paraId="655984BE" w14:textId="77777777" w:rsidR="008D3AF5" w:rsidRPr="00377CFD" w:rsidRDefault="00000000" w:rsidP="004726E2">
      <w:pPr>
        <w:spacing w:before="160" w:after="80"/>
        <w:jc w:val="both"/>
        <w:rPr>
          <w:rFonts w:asciiTheme="majorHAnsi" w:hAnsiTheme="majorHAnsi" w:cstheme="majorHAnsi"/>
          <w:sz w:val="20"/>
          <w:szCs w:val="20"/>
        </w:rPr>
      </w:pPr>
      <w:r w:rsidRPr="00377CFD">
        <w:rPr>
          <w:rFonts w:asciiTheme="majorHAnsi" w:hAnsiTheme="majorHAnsi" w:cstheme="majorHAnsi"/>
          <w:b/>
          <w:bCs/>
          <w:color w:val="3D5A80"/>
          <w:sz w:val="20"/>
          <w:szCs w:val="20"/>
        </w:rPr>
        <w:t>Fricción 1 — Latencia procedimental extrema (promedio 22 meses en minería)</w:t>
      </w:r>
    </w:p>
    <w:p w14:paraId="36466B81"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eastAsia="Arial Unicode MS" w:hAnsiTheme="majorHAnsi" w:cstheme="majorHAnsi"/>
          <w:color w:val="1A1A1A"/>
          <w:sz w:val="20"/>
          <w:szCs w:val="20"/>
        </w:rPr>
        <w:t>La secuencia admisibilidad → evaluación → posible visita in situ → dictamen → posible apelación produce una latencia que excede el promedio de los contratos a plazo fijo en el sector (generalmente 1 a 2 años para personal de contratistas). El trabajador que termina su contrato antes de que el dictamen sea ejecutoriado nunca accede a la cotización adicional, aunque haya estado expuesto al riesgo durante toda su vinculación.</w:t>
      </w:r>
    </w:p>
    <w:p w14:paraId="29B69DEE" w14:textId="77777777" w:rsidR="008D3AF5" w:rsidRPr="00377CFD" w:rsidRDefault="00000000" w:rsidP="004726E2">
      <w:pPr>
        <w:spacing w:before="160" w:after="80"/>
        <w:jc w:val="both"/>
        <w:rPr>
          <w:rFonts w:asciiTheme="majorHAnsi" w:hAnsiTheme="majorHAnsi" w:cstheme="majorHAnsi"/>
          <w:sz w:val="20"/>
          <w:szCs w:val="20"/>
        </w:rPr>
      </w:pPr>
      <w:r w:rsidRPr="00377CFD">
        <w:rPr>
          <w:rFonts w:asciiTheme="majorHAnsi" w:hAnsiTheme="majorHAnsi" w:cstheme="majorHAnsi"/>
          <w:b/>
          <w:bCs/>
          <w:color w:val="3D5A80"/>
          <w:sz w:val="20"/>
          <w:szCs w:val="20"/>
        </w:rPr>
        <w:t>Fricción 2 — Ponderación discrecional sin umbrales mínimos</w:t>
      </w:r>
    </w:p>
    <w:p w14:paraId="5DD57911"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El Art. 2° del D.S. N° 71 dispone que el instrumento guía deberá considerar "a lo menos" los cuatro factores, pero no establece umbrales ni puntajes que gatillen automáticamente la calificación. La Guía Técnica de la CEN (versión 2023) asigna puntuaciones, pero la ponderación final sigue siendo holística. En consecuencia, dos puestos objetivamente idénticos en empresas distintas pueden recibir dictámenes contrarios según la composición de la sala ese día, </w:t>
      </w:r>
      <w:r w:rsidRPr="00377CFD">
        <w:rPr>
          <w:rFonts w:asciiTheme="majorHAnsi" w:hAnsiTheme="majorHAnsi" w:cstheme="majorHAnsi"/>
          <w:b/>
          <w:bCs/>
          <w:color w:val="A93226"/>
          <w:sz w:val="20"/>
          <w:szCs w:val="20"/>
        </w:rPr>
        <w:t>lo que constituye una arbitrariedad contraria al principio de igualdad ante la ley.</w:t>
      </w:r>
    </w:p>
    <w:p w14:paraId="4B01A8DA" w14:textId="77777777" w:rsidR="008D3AF5" w:rsidRPr="00377CFD" w:rsidRDefault="00000000" w:rsidP="004726E2">
      <w:pPr>
        <w:spacing w:before="160" w:after="80"/>
        <w:jc w:val="both"/>
        <w:rPr>
          <w:rFonts w:asciiTheme="majorHAnsi" w:hAnsiTheme="majorHAnsi" w:cstheme="majorHAnsi"/>
          <w:sz w:val="20"/>
          <w:szCs w:val="20"/>
        </w:rPr>
      </w:pPr>
      <w:r w:rsidRPr="00377CFD">
        <w:rPr>
          <w:rFonts w:asciiTheme="majorHAnsi" w:hAnsiTheme="majorHAnsi" w:cstheme="majorHAnsi"/>
          <w:b/>
          <w:bCs/>
          <w:color w:val="3D5A80"/>
          <w:sz w:val="20"/>
          <w:szCs w:val="20"/>
        </w:rPr>
        <w:t>Fricción 3 — Legitimación activa asimétrica</w:t>
      </w:r>
    </w:p>
    <w:p w14:paraId="19B78F5C"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Conforme al Art. 22° del D.S. N° 71 y Art. 3° de la Ley 19.404, pueden solicitar la calificación: el trabajador, el empleador, el sindicato o el delegado de personal. En la práctica, los empleadores mineros grandes (BHP, Codelco, Anglo American) sí presentan solicitudes sistemáticas. Los empleadores medianos y las empresas contratistas raramente lo hacen. Los trabajadores individuales tienen escasa información y capacidad técnica para elaborar el certificado de características del puesto exigido por el Art. 22 a). Los sindicatos de empresas contratistas tienen menor poder negociador y recursos que los de las empresas mandantes.</w:t>
      </w:r>
    </w:p>
    <w:p w14:paraId="4B4FC08D" w14:textId="77777777" w:rsidR="008D3AF5" w:rsidRPr="00377CFD" w:rsidRDefault="00000000" w:rsidP="004726E2">
      <w:pPr>
        <w:spacing w:before="160" w:after="80"/>
        <w:jc w:val="both"/>
        <w:rPr>
          <w:rFonts w:asciiTheme="majorHAnsi" w:hAnsiTheme="majorHAnsi" w:cstheme="majorHAnsi"/>
          <w:sz w:val="20"/>
          <w:szCs w:val="20"/>
        </w:rPr>
      </w:pPr>
      <w:r w:rsidRPr="00377CFD">
        <w:rPr>
          <w:rFonts w:asciiTheme="majorHAnsi" w:hAnsiTheme="majorHAnsi" w:cstheme="majorHAnsi"/>
          <w:b/>
          <w:bCs/>
          <w:color w:val="3D5A80"/>
          <w:sz w:val="20"/>
          <w:szCs w:val="20"/>
        </w:rPr>
        <w:t>Fricción 4 — Subrepresentación del personal subcontratado</w:t>
      </w:r>
    </w:p>
    <w:p w14:paraId="4D9ABB10"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El 55.3% de los trabajadores del sector minero opera bajo régimen de subcontratación (COCHILCO, 2023). Aunque el Art. 3 bis de la Ley 19.404 (incorporado por Ley 20.984/2017) establece que la calificación del puesto produce efectos para todos quienes lo sirven —incluidos contratistas—, la norma exige que exista una calificación previa del puesto. Si la empresa principal no tramita la calificación, los subcontratistas quedan desprotegidos aunque realicen exactamente las mismas labores.</w:t>
      </w:r>
    </w:p>
    <w:p w14:paraId="615C3C6F" w14:textId="77777777" w:rsidR="008D3AF5" w:rsidRPr="00377CFD" w:rsidRDefault="00000000" w:rsidP="004726E2">
      <w:pPr>
        <w:spacing w:before="160" w:after="80"/>
        <w:jc w:val="both"/>
        <w:rPr>
          <w:rFonts w:asciiTheme="majorHAnsi" w:hAnsiTheme="majorHAnsi" w:cstheme="majorHAnsi"/>
          <w:sz w:val="20"/>
          <w:szCs w:val="20"/>
        </w:rPr>
      </w:pPr>
      <w:r w:rsidRPr="00377CFD">
        <w:rPr>
          <w:rFonts w:asciiTheme="majorHAnsi" w:hAnsiTheme="majorHAnsi" w:cstheme="majorHAnsi"/>
          <w:b/>
          <w:bCs/>
          <w:color w:val="3D5A80"/>
          <w:sz w:val="20"/>
          <w:szCs w:val="20"/>
        </w:rPr>
        <w:t>Fricción 5 — Irretroactividad de las cotizaciones</w:t>
      </w:r>
    </w:p>
    <w:p w14:paraId="2A8762EA"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El Art. 17 bis del D.L. N° 3.500 dispone que la obligación de cotizar nace desde el primer día del mes siguiente a la ejecutoría del dictamen. No existe efecto retroactivo. Esto significa que la latencia del procedimiento no solo es una inconveniencia burocrática: es una pérdida patrimonial directa y permanente para el trabajador, quien no podrá recuperar las cotizaciones adicionales correspondientes a los meses previos a la ejecutoría, aun cuando haya estado expuesto al riesgo desde el primer día de trabajo.</w:t>
      </w:r>
    </w:p>
    <w:p w14:paraId="0BDAE2D2" w14:textId="77777777" w:rsidR="008D3AF5" w:rsidRPr="00377CFD" w:rsidRDefault="00000000" w:rsidP="004726E2">
      <w:pPr>
        <w:spacing w:before="160" w:after="80"/>
        <w:jc w:val="both"/>
        <w:rPr>
          <w:rFonts w:asciiTheme="majorHAnsi" w:hAnsiTheme="majorHAnsi" w:cstheme="majorHAnsi"/>
          <w:sz w:val="20"/>
          <w:szCs w:val="20"/>
        </w:rPr>
      </w:pPr>
      <w:r w:rsidRPr="00377CFD">
        <w:rPr>
          <w:rFonts w:asciiTheme="majorHAnsi" w:hAnsiTheme="majorHAnsi" w:cstheme="majorHAnsi"/>
          <w:b/>
          <w:bCs/>
          <w:color w:val="3D5A80"/>
          <w:sz w:val="20"/>
          <w:szCs w:val="20"/>
        </w:rPr>
        <w:t>Fricción 6 — Centralización funcional (Santiago) en sector geográficamente disperso</w:t>
      </w:r>
    </w:p>
    <w:p w14:paraId="673C4CCE"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CEN funciona exclusivamente en Santiago (Art. 4° D.S. 71). Las principales faenas mineras se ubican en las Regiones de Atacama, Antofagasta, Tarapacá y Arica-Parinacota, a distancias de 1.400 a 2.200 km de la capital. Las visitas in situ —que son frecuentes en casos de minería subterránea— requieren viajes, viáticos y autorización presupuestaria de la Superintendencia de Pensiones, con plazos de coordinación que superan los 45 días hábiles en promedio.</w:t>
      </w:r>
    </w:p>
    <w:p w14:paraId="00E4B170" w14:textId="77777777" w:rsidR="00377CFD" w:rsidRDefault="00377CFD">
      <w:pPr>
        <w:rPr>
          <w:rFonts w:asciiTheme="majorHAnsi" w:hAnsiTheme="majorHAnsi" w:cstheme="majorHAnsi"/>
          <w:sz w:val="20"/>
          <w:szCs w:val="20"/>
        </w:rPr>
      </w:pPr>
      <w:r>
        <w:rPr>
          <w:rFonts w:asciiTheme="majorHAnsi" w:hAnsiTheme="majorHAnsi" w:cstheme="majorHAnsi"/>
          <w:sz w:val="20"/>
          <w:szCs w:val="20"/>
        </w:rPr>
        <w:br w:type="page"/>
      </w:r>
    </w:p>
    <w:p w14:paraId="42BFE97D" w14:textId="77777777" w:rsidR="008D3AF5" w:rsidRPr="00377CFD" w:rsidRDefault="00000000" w:rsidP="004726E2">
      <w:pPr>
        <w:pStyle w:val="Ttulo1"/>
        <w:pBdr>
          <w:bottom w:val="single" w:sz="10" w:space="0" w:color="C8922A"/>
        </w:pBdr>
        <w:jc w:val="both"/>
        <w:rPr>
          <w:rFonts w:asciiTheme="majorHAnsi" w:hAnsiTheme="majorHAnsi" w:cstheme="majorHAnsi"/>
          <w:sz w:val="20"/>
          <w:szCs w:val="20"/>
        </w:rPr>
      </w:pPr>
      <w:bookmarkStart w:id="7" w:name="_Toc228400935"/>
      <w:r w:rsidRPr="00377CFD">
        <w:rPr>
          <w:rFonts w:asciiTheme="majorHAnsi" w:hAnsiTheme="majorHAnsi" w:cstheme="majorHAnsi"/>
          <w:sz w:val="20"/>
          <w:szCs w:val="20"/>
        </w:rPr>
        <w:lastRenderedPageBreak/>
        <w:t>III. PROPUESTA DE REFORMA LEGISLATIVA</w:t>
      </w:r>
      <w:bookmarkEnd w:id="7"/>
    </w:p>
    <w:p w14:paraId="576D2B7D" w14:textId="77777777" w:rsidR="008D3AF5" w:rsidRPr="00377CFD" w:rsidRDefault="00000000" w:rsidP="004726E2">
      <w:pPr>
        <w:pStyle w:val="Ttulo2"/>
        <w:jc w:val="both"/>
        <w:rPr>
          <w:rFonts w:asciiTheme="majorHAnsi" w:hAnsiTheme="majorHAnsi" w:cstheme="majorHAnsi"/>
          <w:sz w:val="20"/>
          <w:szCs w:val="20"/>
        </w:rPr>
      </w:pPr>
      <w:bookmarkStart w:id="8" w:name="_Toc228400936"/>
      <w:r w:rsidRPr="00377CFD">
        <w:rPr>
          <w:rFonts w:asciiTheme="majorHAnsi" w:hAnsiTheme="majorHAnsi" w:cstheme="majorHAnsi"/>
          <w:sz w:val="20"/>
          <w:szCs w:val="20"/>
        </w:rPr>
        <w:t>3.1 Principios Rectores de la Reforma</w:t>
      </w:r>
      <w:bookmarkEnd w:id="8"/>
    </w:p>
    <w:p w14:paraId="122A3467"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propuesta se articula sobre cuatro principios jurídicos y técnicos que garantizan su coherencia interna y su compatibilidad con el sistema previsional vigente:</w:t>
      </w:r>
    </w:p>
    <w:p w14:paraId="78290CA9" w14:textId="63BC8F95" w:rsidR="008D3AF5" w:rsidRPr="00377CFD" w:rsidRDefault="00000000" w:rsidP="004726E2">
      <w:pPr>
        <w:numPr>
          <w:ilvl w:val="0"/>
          <w:numId w:val="2"/>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Objetividad verificable: cada criterio de calificación automática es mensurable mediante instrumentos técnicos calibrados, protocolos estandarizados (DS 594 MINSAL, TMERT, NCh 2590) o documentos administrativos públicos (Resolución DT de jornada excepcional, carta I</w:t>
      </w:r>
      <w:r w:rsidR="00A57F1D">
        <w:rPr>
          <w:rFonts w:asciiTheme="majorHAnsi" w:hAnsiTheme="majorHAnsi" w:cstheme="majorHAnsi"/>
          <w:color w:val="1A1A1A"/>
          <w:sz w:val="20"/>
          <w:szCs w:val="20"/>
        </w:rPr>
        <w:t xml:space="preserve">nstituto </w:t>
      </w:r>
      <w:r w:rsidR="00A57F1D" w:rsidRPr="00377CFD">
        <w:rPr>
          <w:rFonts w:asciiTheme="majorHAnsi" w:hAnsiTheme="majorHAnsi" w:cstheme="majorHAnsi"/>
          <w:color w:val="1A1A1A"/>
          <w:sz w:val="20"/>
          <w:szCs w:val="20"/>
        </w:rPr>
        <w:t>G</w:t>
      </w:r>
      <w:r w:rsidR="00A57F1D">
        <w:rPr>
          <w:rFonts w:asciiTheme="majorHAnsi" w:hAnsiTheme="majorHAnsi" w:cstheme="majorHAnsi"/>
          <w:color w:val="1A1A1A"/>
          <w:sz w:val="20"/>
          <w:szCs w:val="20"/>
        </w:rPr>
        <w:t xml:space="preserve">eográfico </w:t>
      </w:r>
      <w:r w:rsidRPr="00377CFD">
        <w:rPr>
          <w:rFonts w:asciiTheme="majorHAnsi" w:hAnsiTheme="majorHAnsi" w:cstheme="majorHAnsi"/>
          <w:color w:val="1A1A1A"/>
          <w:sz w:val="20"/>
          <w:szCs w:val="20"/>
        </w:rPr>
        <w:t>M</w:t>
      </w:r>
      <w:r w:rsidR="00A57F1D">
        <w:rPr>
          <w:rFonts w:asciiTheme="majorHAnsi" w:hAnsiTheme="majorHAnsi" w:cstheme="majorHAnsi"/>
          <w:color w:val="1A1A1A"/>
          <w:sz w:val="20"/>
          <w:szCs w:val="20"/>
        </w:rPr>
        <w:t>ilitar</w:t>
      </w:r>
      <w:r w:rsidRPr="00377CFD">
        <w:rPr>
          <w:rFonts w:asciiTheme="majorHAnsi" w:hAnsiTheme="majorHAnsi" w:cstheme="majorHAnsi"/>
          <w:color w:val="1A1A1A"/>
          <w:sz w:val="20"/>
          <w:szCs w:val="20"/>
        </w:rPr>
        <w:t>), sin requerir valoración subjetiva.</w:t>
      </w:r>
    </w:p>
    <w:p w14:paraId="59D7A6E7" w14:textId="77777777" w:rsidR="008D3AF5" w:rsidRPr="00377CFD" w:rsidRDefault="00000000" w:rsidP="004726E2">
      <w:pPr>
        <w:numPr>
          <w:ilvl w:val="0"/>
          <w:numId w:val="2"/>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Proporcionalidad sectorial: la automatización se justifica porque las condiciones mineras son cuantitativa y cualitativamente más severas que el umbral de desgaste que la propia ley define como "pesado"; no se trata de eximir a la minería del rigor evaluativo, sino de reconocer que el resultado de cualquier evaluación rigurosa sería idéntico.</w:t>
      </w:r>
    </w:p>
    <w:p w14:paraId="412AE155" w14:textId="77777777" w:rsidR="008D3AF5" w:rsidRPr="00377CFD" w:rsidRDefault="00000000" w:rsidP="004726E2">
      <w:pPr>
        <w:numPr>
          <w:ilvl w:val="0"/>
          <w:numId w:val="2"/>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Subsidiariedad del procedimiento general: la calificación automática coexiste con el sistema CEN, que conserva competencia exclusiva para los casos que no cumplan ningún criterio objetivo (evaluación de factores cualitativos) y para revisar impugnaciones al RENAPMA.</w:t>
      </w:r>
    </w:p>
    <w:p w14:paraId="2513458F" w14:textId="0EF07E53" w:rsidR="008D3AF5" w:rsidRPr="00377CFD" w:rsidRDefault="00000000" w:rsidP="004726E2">
      <w:pPr>
        <w:numPr>
          <w:ilvl w:val="0"/>
          <w:numId w:val="2"/>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Tutela efectiva in dubio </w:t>
      </w:r>
      <w:r w:rsidR="00377CFD" w:rsidRPr="00377CFD">
        <w:rPr>
          <w:rFonts w:asciiTheme="majorHAnsi" w:hAnsiTheme="majorHAnsi" w:cstheme="majorHAnsi"/>
          <w:color w:val="1A1A1A"/>
          <w:sz w:val="20"/>
          <w:szCs w:val="20"/>
        </w:rPr>
        <w:t>pro-operario</w:t>
      </w:r>
      <w:r w:rsidRPr="00377CFD">
        <w:rPr>
          <w:rFonts w:asciiTheme="majorHAnsi" w:hAnsiTheme="majorHAnsi" w:cstheme="majorHAnsi"/>
          <w:color w:val="1A1A1A"/>
          <w:sz w:val="20"/>
          <w:szCs w:val="20"/>
        </w:rPr>
        <w:t>: en ningún caso la automatización puede operar en perjuicio del trabajador; cuando exista duda sobre si una condición concurre en un caso específico, la resolución debe favorecer la calificación.</w:t>
      </w:r>
    </w:p>
    <w:p w14:paraId="10D23FB8" w14:textId="77777777" w:rsidR="00377CFD" w:rsidRDefault="00000000" w:rsidP="00377CFD">
      <w:pPr>
        <w:spacing w:after="100"/>
        <w:jc w:val="both"/>
        <w:rPr>
          <w:rFonts w:asciiTheme="majorHAnsi" w:hAnsiTheme="majorHAnsi" w:cstheme="majorHAnsi"/>
          <w:color w:val="1A1A1A"/>
          <w:sz w:val="20"/>
          <w:szCs w:val="20"/>
        </w:rPr>
      </w:pPr>
      <w:r w:rsidRPr="00377CFD">
        <w:rPr>
          <w:rFonts w:asciiTheme="majorHAnsi" w:hAnsiTheme="majorHAnsi" w:cstheme="majorHAnsi"/>
          <w:color w:val="1A1A1A"/>
          <w:sz w:val="20"/>
          <w:szCs w:val="20"/>
        </w:rPr>
        <w:t xml:space="preserve"> </w:t>
      </w:r>
    </w:p>
    <w:p w14:paraId="5B1BF302" w14:textId="76D6283A" w:rsidR="008D3AF5" w:rsidRPr="00377CFD" w:rsidRDefault="00000000" w:rsidP="00377CFD">
      <w:pPr>
        <w:pStyle w:val="Ttulo2"/>
        <w:rPr>
          <w:rFonts w:asciiTheme="majorHAnsi" w:hAnsiTheme="majorHAnsi" w:cstheme="majorHAnsi"/>
          <w:sz w:val="20"/>
          <w:szCs w:val="20"/>
        </w:rPr>
      </w:pPr>
      <w:bookmarkStart w:id="9" w:name="_Toc228400937"/>
      <w:r w:rsidRPr="00377CFD">
        <w:rPr>
          <w:rFonts w:asciiTheme="majorHAnsi" w:hAnsiTheme="majorHAnsi" w:cstheme="majorHAnsi"/>
          <w:sz w:val="20"/>
          <w:szCs w:val="20"/>
        </w:rPr>
        <w:t>3.2 Modificaciones Propuestas a la Ley N° 19.404</w:t>
      </w:r>
      <w:bookmarkEnd w:id="9"/>
    </w:p>
    <w:p w14:paraId="5A4667DF"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Se propone incorporar, a continuación del Art. 3° de la Ley N° 19.404, los siguientes artículos nuevos, renumerando correlativamente los existentes:</w:t>
      </w:r>
    </w:p>
    <w:p w14:paraId="5A0BAF2D"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tbl>
      <w:tblPr>
        <w:tblStyle w:val="a4"/>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8D3AF5" w:rsidRPr="00377CFD" w14:paraId="3F01D806" w14:textId="77777777" w:rsidTr="00CD6708">
        <w:tc>
          <w:tcPr>
            <w:tcW w:w="9776" w:type="dxa"/>
            <w:tcBorders>
              <w:top w:val="single" w:sz="4" w:space="0" w:color="1B3A5C"/>
              <w:left w:val="single" w:sz="4" w:space="0" w:color="1B3A5C"/>
              <w:bottom w:val="single" w:sz="4" w:space="0" w:color="1B3A5C"/>
              <w:right w:val="single" w:sz="4" w:space="0" w:color="1B3A5C"/>
            </w:tcBorders>
            <w:shd w:val="clear" w:color="auto" w:fill="1B3A5C"/>
            <w:tcMar>
              <w:top w:w="80" w:type="dxa"/>
              <w:left w:w="180" w:type="dxa"/>
              <w:bottom w:w="80" w:type="dxa"/>
              <w:right w:w="180" w:type="dxa"/>
            </w:tcMar>
          </w:tcPr>
          <w:p w14:paraId="0D4C3109"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b/>
                <w:bCs/>
                <w:color w:val="FFFFFF"/>
                <w:sz w:val="20"/>
                <w:szCs w:val="20"/>
              </w:rPr>
              <w:t>Artículo 3° bis — CALIFICACIÓN AUTOMÁTICA SECTORIAL PARA MINERÍA (NUEVO)</w:t>
            </w:r>
          </w:p>
        </w:tc>
      </w:tr>
      <w:tr w:rsidR="008D3AF5" w:rsidRPr="00377CFD" w14:paraId="489D0F90" w14:textId="77777777" w:rsidTr="00CD6708">
        <w:tc>
          <w:tcPr>
            <w:tcW w:w="9776" w:type="dxa"/>
            <w:tcBorders>
              <w:top w:val="single" w:sz="4" w:space="0" w:color="1B3A5C"/>
              <w:left w:val="single" w:sz="4" w:space="0" w:color="1B3A5C"/>
              <w:bottom w:val="single" w:sz="4" w:space="0" w:color="1B3A5C"/>
              <w:right w:val="single" w:sz="4" w:space="0" w:color="1B3A5C"/>
            </w:tcBorders>
            <w:shd w:val="clear" w:color="auto" w:fill="EAF2F8"/>
            <w:tcMar>
              <w:top w:w="110" w:type="dxa"/>
              <w:left w:w="180" w:type="dxa"/>
              <w:bottom w:w="110" w:type="dxa"/>
              <w:right w:w="180" w:type="dxa"/>
            </w:tcMar>
          </w:tcPr>
          <w:p w14:paraId="44C92908" w14:textId="4F6384E1"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Sin perjuicio del procedimiento de calificación establecido en el artículo anterior, los puestos de trabajo desempeñados en establecimientos pertenecientes a la industria minera —comprendiendo las actividades de extracción subterránea o a rajo abierto, beneficio, concentración, fundición, refinación electrolítica, y los servicios auxiliares directos de operación en faena— quedarán calificados </w:t>
            </w:r>
            <w:r w:rsidR="0077055B">
              <w:rPr>
                <w:rFonts w:asciiTheme="majorHAnsi" w:hAnsiTheme="majorHAnsi" w:cstheme="majorHAnsi"/>
                <w:color w:val="1A1A1A"/>
                <w:sz w:val="20"/>
                <w:szCs w:val="20"/>
              </w:rPr>
              <w:t xml:space="preserve">por </w:t>
            </w:r>
            <w:r w:rsidR="00A57F1D">
              <w:rPr>
                <w:rFonts w:asciiTheme="majorHAnsi" w:hAnsiTheme="majorHAnsi" w:cstheme="majorHAnsi"/>
                <w:color w:val="1A1A1A"/>
                <w:sz w:val="20"/>
                <w:szCs w:val="20"/>
              </w:rPr>
              <w:t xml:space="preserve">el solo </w:t>
            </w:r>
            <w:r w:rsidR="0077055B">
              <w:rPr>
                <w:rFonts w:asciiTheme="majorHAnsi" w:hAnsiTheme="majorHAnsi" w:cstheme="majorHAnsi"/>
                <w:color w:val="1A1A1A"/>
                <w:sz w:val="20"/>
                <w:szCs w:val="20"/>
              </w:rPr>
              <w:t>ministerio de la ley</w:t>
            </w:r>
            <w:r w:rsidR="00A57F1D">
              <w:rPr>
                <w:rFonts w:asciiTheme="majorHAnsi" w:hAnsiTheme="majorHAnsi" w:cstheme="majorHAnsi"/>
                <w:color w:val="1A1A1A"/>
                <w:sz w:val="20"/>
                <w:szCs w:val="20"/>
              </w:rPr>
              <w:t xml:space="preserve">, </w:t>
            </w:r>
            <w:r w:rsidRPr="00377CFD">
              <w:rPr>
                <w:rFonts w:asciiTheme="majorHAnsi" w:hAnsiTheme="majorHAnsi" w:cstheme="majorHAnsi"/>
                <w:color w:val="1A1A1A"/>
                <w:sz w:val="20"/>
                <w:szCs w:val="20"/>
              </w:rPr>
              <w:t>como trabajo pesado cuando concurra, de manera permanente o habitual durante al menos el cincuenta por ciento de la jornada mensual efectiva de trabajo, uno o más de los factores objetivos señalados en el artículo siguiente.</w:t>
            </w:r>
          </w:p>
          <w:p w14:paraId="7438035A" w14:textId="41C87807" w:rsidR="008D3AF5" w:rsidRPr="00377CFD" w:rsidRDefault="008D3AF5" w:rsidP="004726E2">
            <w:pPr>
              <w:jc w:val="both"/>
              <w:rPr>
                <w:rFonts w:asciiTheme="majorHAnsi" w:hAnsiTheme="majorHAnsi" w:cstheme="majorHAnsi"/>
                <w:sz w:val="20"/>
                <w:szCs w:val="20"/>
              </w:rPr>
            </w:pPr>
          </w:p>
          <w:p w14:paraId="23E57FAB" w14:textId="1A4E5A58"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La concurrencia de un solo </w:t>
            </w:r>
            <w:r w:rsidRPr="000712A9">
              <w:rPr>
                <w:rFonts w:asciiTheme="majorHAnsi" w:hAnsiTheme="majorHAnsi" w:cstheme="majorHAnsi"/>
                <w:b/>
                <w:bCs/>
                <w:color w:val="1A1A1A"/>
                <w:sz w:val="20"/>
                <w:szCs w:val="20"/>
              </w:rPr>
              <w:t>factor objetivo</w:t>
            </w:r>
            <w:r w:rsidRPr="00377CFD">
              <w:rPr>
                <w:rFonts w:asciiTheme="majorHAnsi" w:hAnsiTheme="majorHAnsi" w:cstheme="majorHAnsi"/>
                <w:color w:val="1A1A1A"/>
                <w:sz w:val="20"/>
                <w:szCs w:val="20"/>
              </w:rPr>
              <w:t xml:space="preserve"> es condición suficiente para la calificación automática con cotización del dos por ciento (2%)</w:t>
            </w:r>
            <w:r w:rsidR="000712A9">
              <w:rPr>
                <w:rFonts w:asciiTheme="majorHAnsi" w:hAnsiTheme="majorHAnsi" w:cstheme="majorHAnsi"/>
                <w:color w:val="1A1A1A"/>
                <w:sz w:val="20"/>
                <w:szCs w:val="20"/>
              </w:rPr>
              <w:t>.</w:t>
            </w:r>
          </w:p>
          <w:p w14:paraId="365F9338" w14:textId="4AEC9512" w:rsidR="008D3AF5" w:rsidRPr="00377CFD" w:rsidRDefault="008D3AF5" w:rsidP="004726E2">
            <w:pPr>
              <w:jc w:val="both"/>
              <w:rPr>
                <w:rFonts w:asciiTheme="majorHAnsi" w:hAnsiTheme="majorHAnsi" w:cstheme="majorHAnsi"/>
                <w:sz w:val="20"/>
                <w:szCs w:val="20"/>
              </w:rPr>
            </w:pPr>
          </w:p>
          <w:p w14:paraId="0B9FABDB"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Los efectos de la calificación automática se producirán desde la fecha de ocurrencia o inicio de la condición habilitante, con independencia de la fecha de inscripción en el Registro Nacional de Puestos Mineros de Calificación Automática. Las cotizaciones y aportes adicionales correspondientes a períodos anteriores a la inscripción, pero posteriores al inicio de la condición, serán exigibles con reajuste conforme al IPC y un interés del 0,5% mensual, sin perjuicio de las multas administrativas que procedan.</w:t>
            </w:r>
          </w:p>
          <w:p w14:paraId="0790A23D" w14:textId="77777777" w:rsidR="008D3AF5" w:rsidRDefault="00000000" w:rsidP="004726E2">
            <w:pPr>
              <w:jc w:val="both"/>
              <w:rPr>
                <w:rFonts w:asciiTheme="majorHAnsi" w:hAnsiTheme="majorHAnsi" w:cstheme="majorHAnsi"/>
                <w:color w:val="1A1A1A"/>
                <w:sz w:val="20"/>
                <w:szCs w:val="20"/>
              </w:rPr>
            </w:pPr>
            <w:r w:rsidRPr="00377CFD">
              <w:rPr>
                <w:rFonts w:asciiTheme="majorHAnsi" w:hAnsiTheme="majorHAnsi" w:cstheme="majorHAnsi"/>
                <w:color w:val="1A1A1A"/>
                <w:sz w:val="20"/>
                <w:szCs w:val="20"/>
              </w:rPr>
              <w:t xml:space="preserve"> </w:t>
            </w:r>
          </w:p>
          <w:p w14:paraId="294B8671" w14:textId="77777777" w:rsidR="00CD6708" w:rsidRPr="00377CFD" w:rsidRDefault="00CD6708" w:rsidP="004726E2">
            <w:pPr>
              <w:jc w:val="both"/>
              <w:rPr>
                <w:rFonts w:asciiTheme="majorHAnsi" w:hAnsiTheme="majorHAnsi" w:cstheme="majorHAnsi"/>
                <w:sz w:val="20"/>
                <w:szCs w:val="20"/>
              </w:rPr>
            </w:pPr>
          </w:p>
          <w:p w14:paraId="52ACC20B"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lastRenderedPageBreak/>
              <w:t>La calificación automática producirá iguales efectos respecto de los trabajadores que sirvan el puesto de trabajo calificado, ya sean contratados directamente por la entidad empleadora, bajo régimen de subcontratación o puestos a disposición por empresas de servicios transitorios. La empresa principal responderá solidariamente por las obligaciones derivadas de la calificación automática respecto de los trabajadores de sus empresas contratistas y subcontratistas.</w:t>
            </w:r>
          </w:p>
        </w:tc>
      </w:tr>
    </w:tbl>
    <w:p w14:paraId="4C6AF2E9"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lastRenderedPageBreak/>
        <w:t xml:space="preserve"> </w:t>
      </w: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D3AF5" w:rsidRPr="00377CFD" w14:paraId="14422796" w14:textId="77777777">
        <w:tc>
          <w:tcPr>
            <w:tcW w:w="9360" w:type="dxa"/>
            <w:tcBorders>
              <w:top w:val="single" w:sz="4" w:space="0" w:color="1B3A5C"/>
              <w:left w:val="single" w:sz="4" w:space="0" w:color="1B3A5C"/>
              <w:bottom w:val="single" w:sz="4" w:space="0" w:color="1B3A5C"/>
              <w:right w:val="single" w:sz="4" w:space="0" w:color="1B3A5C"/>
            </w:tcBorders>
            <w:shd w:val="clear" w:color="auto" w:fill="1B3A5C"/>
            <w:tcMar>
              <w:top w:w="80" w:type="dxa"/>
              <w:left w:w="180" w:type="dxa"/>
              <w:bottom w:w="80" w:type="dxa"/>
              <w:right w:w="180" w:type="dxa"/>
            </w:tcMar>
          </w:tcPr>
          <w:p w14:paraId="3DF5A831"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b/>
                <w:bCs/>
                <w:color w:val="FFFFFF"/>
                <w:sz w:val="20"/>
                <w:szCs w:val="20"/>
              </w:rPr>
              <w:t>Artículo 3° ter — FACTORES OBJETIVOS DE CALIFICACIÓN AUTOMÁTICA (NUEVO)</w:t>
            </w:r>
          </w:p>
        </w:tc>
      </w:tr>
      <w:tr w:rsidR="008D3AF5" w:rsidRPr="00377CFD" w14:paraId="43D29ADE" w14:textId="77777777">
        <w:tc>
          <w:tcPr>
            <w:tcW w:w="9360" w:type="dxa"/>
            <w:tcBorders>
              <w:top w:val="single" w:sz="4" w:space="0" w:color="1B3A5C"/>
              <w:left w:val="single" w:sz="4" w:space="0" w:color="1B3A5C"/>
              <w:bottom w:val="single" w:sz="4" w:space="0" w:color="1B3A5C"/>
              <w:right w:val="single" w:sz="4" w:space="0" w:color="1B3A5C"/>
            </w:tcBorders>
            <w:shd w:val="clear" w:color="auto" w:fill="EAF2F8"/>
            <w:tcMar>
              <w:top w:w="110" w:type="dxa"/>
              <w:left w:w="180" w:type="dxa"/>
              <w:bottom w:w="110" w:type="dxa"/>
              <w:right w:w="180" w:type="dxa"/>
            </w:tcMar>
          </w:tcPr>
          <w:p w14:paraId="48F5596B"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Para los efectos del artículo precedente, constituyen factores objetivos de calificación automática los siguientes, debiendo acreditarse su concurrencia en los términos que señale el reglamento:</w:t>
            </w:r>
          </w:p>
          <w:p w14:paraId="077432FE"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0FD4FAF1"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Factor A — Altura geográfica extrema: </w:t>
            </w:r>
            <w:r w:rsidRPr="00377CFD">
              <w:rPr>
                <w:rFonts w:asciiTheme="majorHAnsi" w:hAnsiTheme="majorHAnsi" w:cstheme="majorHAnsi"/>
                <w:color w:val="1A1A1A"/>
                <w:sz w:val="20"/>
                <w:szCs w:val="20"/>
              </w:rPr>
              <w:t>Desempeño de funciones en instalaciones, frentes de trabajo, plantas de beneficio o faenas ubicadas a una altitud igual o superior a 3.000 metros sobre el nivel del mar (msnm). La altitud se acreditará mediante carta topográfica oficial del Instituto Geográfico Militar (IGM) escala 1:50.000 o superior, o por instrumento GPS certificado. No se requerirá medición in situ si la altitud consta en el Registro de Concesiones Mineras del Servicio Nacional de Geología y Minería (SERNAGEOMIN).</w:t>
            </w:r>
          </w:p>
          <w:p w14:paraId="78AB99A8"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6A32C561"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Factor B — Turno rotativo extenso: </w:t>
            </w:r>
            <w:r w:rsidRPr="00377CFD">
              <w:rPr>
                <w:rFonts w:asciiTheme="majorHAnsi" w:hAnsiTheme="majorHAnsi" w:cstheme="majorHAnsi"/>
                <w:color w:val="1A1A1A"/>
                <w:sz w:val="20"/>
                <w:szCs w:val="20"/>
              </w:rPr>
              <w:t>Cumplimiento de jornada en régimen de turnos rotativos con ciclos de al menos siete días continuos de trabajo seguidos de siete días de descanso (ciclo 7×7), o variantes numéricamente equivalentes o más exigentes (10×10, 14×7, 20×10, etc.) en términos de horas acumuladas por período de trabajo continuo. Se acreditará mediante el reglamento interno de turno o la resolución de jornada excepcional otorgada por la Dirección del Trabajo.</w:t>
            </w:r>
          </w:p>
          <w:p w14:paraId="38CB041D"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5F699943"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Factor C — Trabajo nocturno prolongado: </w:t>
            </w:r>
            <w:r w:rsidRPr="00377CFD">
              <w:rPr>
                <w:rFonts w:asciiTheme="majorHAnsi" w:hAnsiTheme="majorHAnsi" w:cstheme="majorHAnsi"/>
                <w:color w:val="1A1A1A"/>
                <w:sz w:val="20"/>
                <w:szCs w:val="20"/>
              </w:rPr>
              <w:t>Desempeño habitual de jornadas entre las 22:00 y las 06:00 horas durante un promedio mensual de al menos cuatro noches consecutivas por semana. Se acreditará mediante el libro de asistencia, el sistema electrónico de control de acceso o la planilla de turnos certificada por el empleador.</w:t>
            </w:r>
          </w:p>
          <w:p w14:paraId="7129792D"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5F1AAB62"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Factor D — Exposición a ruido sobre límite permisible ponderado: </w:t>
            </w:r>
            <w:r w:rsidRPr="00377CFD">
              <w:rPr>
                <w:rFonts w:asciiTheme="majorHAnsi" w:hAnsiTheme="majorHAnsi" w:cstheme="majorHAnsi"/>
                <w:color w:val="1A1A1A"/>
                <w:sz w:val="20"/>
                <w:szCs w:val="20"/>
              </w:rPr>
              <w:t>Exposición a nivel de presión sonora continua equivalente ponderado A en 8 horas (NPSeq(A) o Leq 8h) igual o superior a 85 dB(A), medido con dosímetro personal conforme al protocolo del Decreto Supremo N° 594/1999 del Ministerio de Salud y al Protocolo de Vigilancia de Hipoacusia de la SUSESO. Las mediciones tendrán vigencia de tres años o hasta que se modifiquen los procesos productivos.</w:t>
            </w:r>
          </w:p>
          <w:p w14:paraId="1D2DA825"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7B98493D"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Factor E — Exposición a agentes químicos peligrosos de alta toxicidad: </w:t>
            </w:r>
            <w:r w:rsidRPr="00377CFD">
              <w:rPr>
                <w:rFonts w:asciiTheme="majorHAnsi" w:hAnsiTheme="majorHAnsi" w:cstheme="majorHAnsi"/>
                <w:color w:val="1A1A1A"/>
                <w:sz w:val="20"/>
                <w:szCs w:val="20"/>
              </w:rPr>
              <w:t>Manipulación directa, exposición habitual o proximidad regular a: (i) sustancias clasificadas en las categorías de peligro 1 y 2 del Sistema Globalmente Armonizado de Clasificación y Etiquetado de Productos Químicos (SGA), en concentraciones que superen el 50% del Límite de Exposición Ocupacional (LEO) vigente; o (ii) polvo con concentración de sílice cristalina libre en la fracción respirable superior al 10%, medida conforme a la norma NCh 2590 y al Protocolo de Vigilancia de Silicosis de la SUSESO.</w:t>
            </w:r>
          </w:p>
          <w:p w14:paraId="1C3E9309"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279B8D13"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lastRenderedPageBreak/>
              <w:t xml:space="preserve">Factor F — Riesgo musculoesquelético de alta carga biomecánica: </w:t>
            </w:r>
            <w:r w:rsidRPr="00377CFD">
              <w:rPr>
                <w:rFonts w:asciiTheme="majorHAnsi" w:hAnsiTheme="majorHAnsi" w:cstheme="majorHAnsi"/>
                <w:color w:val="1A1A1A"/>
                <w:sz w:val="20"/>
                <w:szCs w:val="20"/>
              </w:rPr>
              <w:t>Desempeño de tareas con al menos uno de los siguientes indicadores: (i) manejo manual de cargas iguales o superiores a 25 kg en hombres y 15 kg en mujeres, con frecuencia de diez o más levantamientos por turno; o (ii) adopción de posturas forzadas evaluadas con nivel de acción 3 o 4 del método REBA (Rapid Entire Body Assessment) o equivalente RULA, conforme al Protocolo TMERT-MINSAL vigente, durante al menos el 30% del tiempo de trabajo efectivo.</w:t>
            </w:r>
          </w:p>
          <w:p w14:paraId="157FCC59"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62CF3FE2" w14:textId="1A1893CC"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Factor G — Jornada excepcional en faena apartada de larga permanencia: </w:t>
            </w:r>
            <w:r w:rsidRPr="00377CFD">
              <w:rPr>
                <w:rFonts w:asciiTheme="majorHAnsi" w:hAnsiTheme="majorHAnsi" w:cstheme="majorHAnsi"/>
                <w:color w:val="1A1A1A"/>
                <w:sz w:val="20"/>
                <w:szCs w:val="20"/>
              </w:rPr>
              <w:t xml:space="preserve">Trabajadores acogidos a autorización de jornada excepcional conforme al artículo 38 del Código del Trabajo, que cumplan jornadas efectivas superiores a </w:t>
            </w:r>
            <w:r w:rsidR="0077055B">
              <w:rPr>
                <w:rFonts w:asciiTheme="majorHAnsi" w:hAnsiTheme="majorHAnsi" w:cstheme="majorHAnsi"/>
                <w:color w:val="1A1A1A"/>
                <w:sz w:val="20"/>
                <w:szCs w:val="20"/>
              </w:rPr>
              <w:t>40</w:t>
            </w:r>
            <w:r w:rsidRPr="00377CFD">
              <w:rPr>
                <w:rFonts w:asciiTheme="majorHAnsi" w:hAnsiTheme="majorHAnsi" w:cstheme="majorHAnsi"/>
                <w:color w:val="1A1A1A"/>
                <w:sz w:val="20"/>
                <w:szCs w:val="20"/>
              </w:rPr>
              <w:t xml:space="preserve"> horas semanales en faenas ubicadas a más de 100 kilómetros de distancia vial del área urbana más próxima que cuente con servicios de salud de urgencia, con permanencia en campamento de al menos 7 días continuos por ciclo.</w:t>
            </w:r>
          </w:p>
        </w:tc>
      </w:tr>
    </w:tbl>
    <w:p w14:paraId="018C015B"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lastRenderedPageBreak/>
        <w:t xml:space="preserve"> </w:t>
      </w: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D3AF5" w:rsidRPr="00377CFD" w14:paraId="2FAD3A1B" w14:textId="77777777">
        <w:tc>
          <w:tcPr>
            <w:tcW w:w="9360" w:type="dxa"/>
            <w:tcBorders>
              <w:top w:val="single" w:sz="4" w:space="0" w:color="1B3A5C"/>
              <w:left w:val="single" w:sz="4" w:space="0" w:color="1B3A5C"/>
              <w:bottom w:val="single" w:sz="4" w:space="0" w:color="1B3A5C"/>
              <w:right w:val="single" w:sz="4" w:space="0" w:color="1B3A5C"/>
            </w:tcBorders>
            <w:shd w:val="clear" w:color="auto" w:fill="1B3A5C"/>
            <w:tcMar>
              <w:top w:w="80" w:type="dxa"/>
              <w:left w:w="180" w:type="dxa"/>
              <w:bottom w:w="80" w:type="dxa"/>
              <w:right w:w="180" w:type="dxa"/>
            </w:tcMar>
          </w:tcPr>
          <w:p w14:paraId="731CB734"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b/>
                <w:bCs/>
                <w:color w:val="FFFFFF"/>
                <w:sz w:val="20"/>
                <w:szCs w:val="20"/>
              </w:rPr>
              <w:t>Artículo 3° quáter — REGISTRO, INSCRIPCIÓN Y EFECTOS (NUEVO)</w:t>
            </w:r>
          </w:p>
        </w:tc>
      </w:tr>
      <w:tr w:rsidR="008D3AF5" w:rsidRPr="00377CFD" w14:paraId="1BEE2CF3" w14:textId="77777777">
        <w:tc>
          <w:tcPr>
            <w:tcW w:w="9360" w:type="dxa"/>
            <w:tcBorders>
              <w:top w:val="single" w:sz="4" w:space="0" w:color="1B3A5C"/>
              <w:left w:val="single" w:sz="4" w:space="0" w:color="1B3A5C"/>
              <w:bottom w:val="single" w:sz="4" w:space="0" w:color="1B3A5C"/>
              <w:right w:val="single" w:sz="4" w:space="0" w:color="1B3A5C"/>
            </w:tcBorders>
            <w:shd w:val="clear" w:color="auto" w:fill="EAF2F8"/>
            <w:tcMar>
              <w:top w:w="110" w:type="dxa"/>
              <w:left w:w="180" w:type="dxa"/>
              <w:bottom w:w="110" w:type="dxa"/>
              <w:right w:w="180" w:type="dxa"/>
            </w:tcMar>
          </w:tcPr>
          <w:p w14:paraId="239AF8B3"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El empleador del sector minero que opere puestos de trabajo en los que concurra uno o más de los factores señalados en el artículo anterior deberá inscribirlos en el Registro Nacional de Puestos Mineros de Calificación Automática (RENAPMA), administrado por la Superintendencia de Pensiones, dentro de los treinta días corridos siguientes a la fecha de inicio de la condición habilitante o, tratándose de condiciones preexistentes a la vigencia de esta ley, dentro de los noventa días corridos siguientes a su publicación en el Diario Oficial.</w:t>
            </w:r>
          </w:p>
          <w:p w14:paraId="0B43AB2B"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3E0A56AE"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El trabajador afectado, el sindicato o el delegado de personal tendrán acción directa ante la Inspección del Trabajo competente para exigir la inscripción omitida. La Inspección del Trabajo, verificada la concurrencia del factor objetivo mediante los instrumentos señalados en el artículo anterior, ordenará la inscripción dentro de los quince días hábiles siguientes a la denuncia, sin necesidad de dictamen previo de la Comisión Ergonómica Nacional.</w:t>
            </w:r>
          </w:p>
          <w:p w14:paraId="2DAC24AF"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40080E63"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inscripción en el RENAPMA tendrá carácter indefinido. El empleador estará obligado a notificar a la Superintendencia de Pensiones cualquier modificación de las condiciones que motivaron la inscripción, dentro del plazo de treinta días corridos de ocurrida la variación. La Superintendencia de Pensiones resolverá, en un plazo de quince días hábiles, si la modificación implica la pérdida de la calidad de trabajo pesado automático, caso en el cual derivará el puesto al procedimiento general de evaluación ante la Comisión Ergonómica Nacional.</w:t>
            </w:r>
          </w:p>
          <w:p w14:paraId="101CCA61"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3B8C999F"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El incumplimiento de la obligación de inscripción oportuna será sancionado con multa de 10 a 150 Unidades Tributarias Mensuales por puesto de trabajo no inscrito, sin perjuicio de la responsabilidad solidaria por las cotizaciones adeudadas con intereses y reajustes, aplicable conforme a la Ley N° 17.322.</w:t>
            </w:r>
          </w:p>
        </w:tc>
      </w:tr>
    </w:tbl>
    <w:p w14:paraId="1B3F24FF"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6698FBED" w14:textId="77777777" w:rsidR="000712A9" w:rsidRDefault="000712A9">
      <w:pPr>
        <w:rPr>
          <w:rFonts w:asciiTheme="majorHAnsi" w:hAnsiTheme="majorHAnsi" w:cstheme="majorHAnsi"/>
          <w:b/>
          <w:bCs/>
          <w:color w:val="2E6DA4"/>
          <w:sz w:val="20"/>
          <w:szCs w:val="20"/>
        </w:rPr>
      </w:pPr>
      <w:r>
        <w:rPr>
          <w:rFonts w:asciiTheme="majorHAnsi" w:hAnsiTheme="majorHAnsi" w:cstheme="majorHAnsi"/>
          <w:sz w:val="20"/>
          <w:szCs w:val="20"/>
        </w:rPr>
        <w:br w:type="page"/>
      </w:r>
    </w:p>
    <w:p w14:paraId="607AFF62" w14:textId="711FA8BB" w:rsidR="008D3AF5" w:rsidRPr="00377CFD" w:rsidRDefault="00000000" w:rsidP="004726E2">
      <w:pPr>
        <w:pStyle w:val="Ttulo2"/>
        <w:jc w:val="both"/>
        <w:rPr>
          <w:rFonts w:asciiTheme="majorHAnsi" w:hAnsiTheme="majorHAnsi" w:cstheme="majorHAnsi"/>
          <w:sz w:val="20"/>
          <w:szCs w:val="20"/>
        </w:rPr>
      </w:pPr>
      <w:bookmarkStart w:id="10" w:name="_Toc228400938"/>
      <w:r w:rsidRPr="00377CFD">
        <w:rPr>
          <w:rFonts w:asciiTheme="majorHAnsi" w:hAnsiTheme="majorHAnsi" w:cstheme="majorHAnsi"/>
          <w:sz w:val="20"/>
          <w:szCs w:val="20"/>
        </w:rPr>
        <w:lastRenderedPageBreak/>
        <w:t>3.3 Modificaciones al Decreto N° 71 — RENAPMA y Auditoría</w:t>
      </w:r>
      <w:bookmarkEnd w:id="10"/>
    </w:p>
    <w:p w14:paraId="69A44E02"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Adicionalmente a las modificaciones legales, se requiere actualizar el D.S. N° 71 para incorporar las siguientes disposiciones reglamentarias (se propone un nuevo Título V bis):</w:t>
      </w:r>
    </w:p>
    <w:p w14:paraId="5F5182C8"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55132D9D" w14:textId="77777777" w:rsidR="008D3AF5" w:rsidRPr="00377CFD" w:rsidRDefault="00000000" w:rsidP="004726E2">
      <w:pPr>
        <w:pStyle w:val="Ttulo3"/>
        <w:jc w:val="both"/>
        <w:rPr>
          <w:rFonts w:asciiTheme="majorHAnsi" w:hAnsiTheme="majorHAnsi" w:cstheme="majorHAnsi"/>
          <w:sz w:val="20"/>
          <w:szCs w:val="20"/>
        </w:rPr>
      </w:pPr>
      <w:bookmarkStart w:id="11" w:name="_Toc228400939"/>
      <w:r w:rsidRPr="00377CFD">
        <w:rPr>
          <w:rFonts w:asciiTheme="majorHAnsi" w:hAnsiTheme="majorHAnsi" w:cstheme="majorHAnsi"/>
          <w:sz w:val="20"/>
          <w:szCs w:val="20"/>
        </w:rPr>
        <w:t>Propuesta Nuevo Título V bis: Del RENAPMA y el Sistema de Auditoría</w:t>
      </w:r>
      <w:bookmarkEnd w:id="11"/>
    </w:p>
    <w:tbl>
      <w:tblPr>
        <w:tblStyle w:val="a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7760"/>
      </w:tblGrid>
      <w:tr w:rsidR="008D3AF5" w:rsidRPr="00377CFD" w14:paraId="53BF2BB4" w14:textId="77777777">
        <w:tc>
          <w:tcPr>
            <w:tcW w:w="1600" w:type="dxa"/>
            <w:tcBorders>
              <w:top w:val="single" w:sz="4" w:space="0" w:color="1B3A5C"/>
              <w:left w:val="single" w:sz="4" w:space="0" w:color="1B3A5C"/>
              <w:bottom w:val="single" w:sz="4" w:space="0" w:color="1B3A5C"/>
              <w:right w:val="single" w:sz="4" w:space="0" w:color="1B3A5C"/>
            </w:tcBorders>
            <w:shd w:val="clear" w:color="auto" w:fill="1B3A5C"/>
            <w:tcMar>
              <w:top w:w="80" w:type="dxa"/>
              <w:left w:w="120" w:type="dxa"/>
              <w:bottom w:w="80" w:type="dxa"/>
              <w:right w:w="120" w:type="dxa"/>
            </w:tcMar>
          </w:tcPr>
          <w:p w14:paraId="5BC9BCA5" w14:textId="77777777" w:rsidR="008D3AF5" w:rsidRPr="00CD6708" w:rsidRDefault="00000000" w:rsidP="005510B9">
            <w:pPr>
              <w:spacing w:line="276" w:lineRule="auto"/>
              <w:jc w:val="center"/>
              <w:rPr>
                <w:rFonts w:asciiTheme="majorHAnsi" w:hAnsiTheme="majorHAnsi" w:cstheme="majorHAnsi"/>
                <w:sz w:val="18"/>
                <w:szCs w:val="18"/>
              </w:rPr>
            </w:pPr>
            <w:r w:rsidRPr="00CD6708">
              <w:rPr>
                <w:rFonts w:asciiTheme="majorHAnsi" w:hAnsiTheme="majorHAnsi" w:cstheme="majorHAnsi"/>
                <w:b/>
                <w:bCs/>
                <w:color w:val="FFFFFF"/>
                <w:sz w:val="18"/>
                <w:szCs w:val="18"/>
              </w:rPr>
              <w:t>Art. Propuesto</w:t>
            </w:r>
          </w:p>
        </w:tc>
        <w:tc>
          <w:tcPr>
            <w:tcW w:w="7760" w:type="dxa"/>
            <w:tcBorders>
              <w:top w:val="single" w:sz="4" w:space="0" w:color="1B3A5C"/>
              <w:left w:val="single" w:sz="4" w:space="0" w:color="1B3A5C"/>
              <w:bottom w:val="single" w:sz="4" w:space="0" w:color="1B3A5C"/>
              <w:right w:val="single" w:sz="4" w:space="0" w:color="1B3A5C"/>
            </w:tcBorders>
            <w:shd w:val="clear" w:color="auto" w:fill="1B3A5C"/>
            <w:tcMar>
              <w:top w:w="80" w:type="dxa"/>
              <w:left w:w="120" w:type="dxa"/>
              <w:bottom w:w="80" w:type="dxa"/>
              <w:right w:w="120" w:type="dxa"/>
            </w:tcMar>
          </w:tcPr>
          <w:p w14:paraId="6556F343" w14:textId="77777777" w:rsidR="008D3AF5" w:rsidRPr="00CD6708" w:rsidRDefault="00000000" w:rsidP="005510B9">
            <w:pPr>
              <w:spacing w:line="276" w:lineRule="auto"/>
              <w:jc w:val="center"/>
              <w:rPr>
                <w:rFonts w:asciiTheme="majorHAnsi" w:hAnsiTheme="majorHAnsi" w:cstheme="majorHAnsi"/>
                <w:sz w:val="18"/>
                <w:szCs w:val="18"/>
              </w:rPr>
            </w:pPr>
            <w:r w:rsidRPr="00CD6708">
              <w:rPr>
                <w:rFonts w:asciiTheme="majorHAnsi" w:hAnsiTheme="majorHAnsi" w:cstheme="majorHAnsi"/>
                <w:b/>
                <w:bCs/>
                <w:color w:val="FFFFFF"/>
                <w:sz w:val="18"/>
                <w:szCs w:val="18"/>
              </w:rPr>
              <w:t>Contenido normativo</w:t>
            </w:r>
          </w:p>
        </w:tc>
      </w:tr>
      <w:tr w:rsidR="008D3AF5" w:rsidRPr="00377CFD" w14:paraId="28A534EB" w14:textId="77777777">
        <w:tc>
          <w:tcPr>
            <w:tcW w:w="160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67FC747A"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Art. 31 bis</w:t>
            </w:r>
          </w:p>
        </w:tc>
        <w:tc>
          <w:tcPr>
            <w:tcW w:w="776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5B0D4F39"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El RENAPMA es el registro electrónico oficial de puestos de trabajo minero calificados automáticamente conforme al Art. 3° bis de la Ley N° 19.404. Será administrado por la Superintendencia de Pensiones, integrado con el Registro de Empresas y Remuneraciones (RER) de la DT, el sistema de información de SERNAGEOMIN y la plataforma de organismos administradores del seguro de la Ley N° 16.744.</w:t>
            </w:r>
          </w:p>
        </w:tc>
      </w:tr>
      <w:tr w:rsidR="008D3AF5" w:rsidRPr="00377CFD" w14:paraId="210AE0D2" w14:textId="77777777">
        <w:tc>
          <w:tcPr>
            <w:tcW w:w="160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64EBF4D5"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Art. 31 ter</w:t>
            </w:r>
          </w:p>
        </w:tc>
        <w:tc>
          <w:tcPr>
            <w:tcW w:w="776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4B1C8AEF"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La inscripción en el RENAPMA se realizará mediante formulario electrónico único, disponible en la plataforma digital de la Superintendencia de Pensiones, acompañando: (a) RUT empresa y faena; (b) identificación del puesto de trabajo (código CIIU, descripción funcional); (c) factor(es) objetivos concurrentes con su acreditación instrumental; (d) número de trabajadores que sirven el puesto; y (e) en caso de subcontratación, individualización de contratistas y subcontratistas.</w:t>
            </w:r>
          </w:p>
        </w:tc>
      </w:tr>
      <w:tr w:rsidR="008D3AF5" w:rsidRPr="00377CFD" w14:paraId="0A965178" w14:textId="77777777">
        <w:tc>
          <w:tcPr>
            <w:tcW w:w="160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395FA4A4"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Art. 31 quáter</w:t>
            </w:r>
          </w:p>
        </w:tc>
        <w:tc>
          <w:tcPr>
            <w:tcW w:w="776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253C04F1"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La Superintendencia de Pensiones practicará auditorías aleatorias a un 15% de los puestos inscritos en el RENAPMA anualmente, mediante comisiones de fiscalización integradas por profesionales de la Superintendencia y del organismo administrador de la Ley N° 16.744 correspondiente a la empresa. En caso de detectarse inscripciones fraudulentas o sin respaldo instrumental, aplicarán las sanciones del Art. 3° quáter de la Ley N° 19.404 y se derivará la revisión al procedimiento general CEN.</w:t>
            </w:r>
          </w:p>
        </w:tc>
      </w:tr>
      <w:tr w:rsidR="008D3AF5" w:rsidRPr="00377CFD" w14:paraId="4D4B0E65" w14:textId="77777777">
        <w:tc>
          <w:tcPr>
            <w:tcW w:w="160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71B6F9EC" w14:textId="77777777" w:rsidR="000712A9" w:rsidRPr="00CD6708" w:rsidRDefault="00000000" w:rsidP="004726E2">
            <w:pPr>
              <w:spacing w:line="276" w:lineRule="auto"/>
              <w:jc w:val="both"/>
              <w:rPr>
                <w:rFonts w:asciiTheme="majorHAnsi" w:hAnsiTheme="majorHAnsi" w:cstheme="majorHAnsi"/>
                <w:color w:val="1A1A1A"/>
                <w:sz w:val="18"/>
                <w:szCs w:val="18"/>
              </w:rPr>
            </w:pPr>
            <w:r w:rsidRPr="00CD6708">
              <w:rPr>
                <w:rFonts w:asciiTheme="majorHAnsi" w:hAnsiTheme="majorHAnsi" w:cstheme="majorHAnsi"/>
                <w:color w:val="1A1A1A"/>
                <w:sz w:val="18"/>
                <w:szCs w:val="18"/>
              </w:rPr>
              <w:t>Art. 31</w:t>
            </w:r>
          </w:p>
          <w:p w14:paraId="43C019BF" w14:textId="139EB904"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quinquies</w:t>
            </w:r>
          </w:p>
        </w:tc>
        <w:tc>
          <w:tcPr>
            <w:tcW w:w="7760" w:type="dxa"/>
            <w:tcBorders>
              <w:top w:val="single" w:sz="4" w:space="0" w:color="BBBBBB"/>
              <w:left w:val="single" w:sz="4" w:space="0" w:color="BBBBBB"/>
              <w:bottom w:val="single" w:sz="4" w:space="0" w:color="BBBBBB"/>
              <w:right w:val="single" w:sz="4" w:space="0" w:color="BBBBBB"/>
            </w:tcBorders>
            <w:shd w:val="clear" w:color="auto" w:fill="EAF2F8"/>
            <w:tcMar>
              <w:top w:w="80" w:type="dxa"/>
              <w:left w:w="120" w:type="dxa"/>
              <w:bottom w:w="80" w:type="dxa"/>
              <w:right w:w="120" w:type="dxa"/>
            </w:tcMar>
          </w:tcPr>
          <w:p w14:paraId="3BA89438"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La Comisión Ergonómica Nacional conservará competencia exclusiva para: (a) calificar puestos mineros que no cumplan ningún factor objetivo del Art. 3° ter; (b) resolver impugnaciones de la inscripción RENAPMA por parte del empleador; (c) revisar la suficiencia técnica de los instrumentos de medición invocados; y (d) actualizar los protocolos de medición de los factores objetivos cada tres años, en coordinación con el Ministerio de Salud y SERNAGEOMIN. La Comisión emitirá dictamen en plazo máximo de 45 días hábiles para impugnaciones RENAPMA.</w:t>
            </w:r>
          </w:p>
        </w:tc>
      </w:tr>
      <w:tr w:rsidR="008D3AF5" w:rsidRPr="00377CFD" w14:paraId="0CAD0F93" w14:textId="77777777">
        <w:tc>
          <w:tcPr>
            <w:tcW w:w="160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537421AA"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Art. 31 sexies</w:t>
            </w:r>
          </w:p>
        </w:tc>
        <w:tc>
          <w:tcPr>
            <w:tcW w:w="7760" w:type="dxa"/>
            <w:tcBorders>
              <w:top w:val="single" w:sz="4" w:space="0" w:color="BBBBBB"/>
              <w:left w:val="single" w:sz="4" w:space="0" w:color="BBBBBB"/>
              <w:bottom w:val="single" w:sz="4" w:space="0" w:color="BBBBBB"/>
              <w:right w:val="single" w:sz="4" w:space="0" w:color="BBBBBB"/>
            </w:tcBorders>
            <w:shd w:val="clear" w:color="auto" w:fill="FFFFFF"/>
            <w:tcMar>
              <w:top w:w="80" w:type="dxa"/>
              <w:left w:w="120" w:type="dxa"/>
              <w:bottom w:w="80" w:type="dxa"/>
              <w:right w:w="120" w:type="dxa"/>
            </w:tcMar>
          </w:tcPr>
          <w:p w14:paraId="293C62F5"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La Superintendencia de Pensiones publicará mensualmente en su sitio web el listado actualizado del RENAPMA, incluyendo por empresa: número de puestos inscritos, factores concurrentes, número de trabajadores cubiertos y fecha de inscripción. Las AFP y el IPS deberán reflejar los periodos de trabajo pesado automático en las libretas previsionales de los trabajadores dentro de los 30 días siguientes a la inscripción.</w:t>
            </w:r>
          </w:p>
        </w:tc>
      </w:tr>
    </w:tbl>
    <w:p w14:paraId="663B2137"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052B1D04" w14:textId="77777777" w:rsidR="000712A9" w:rsidRDefault="000712A9">
      <w:pPr>
        <w:rPr>
          <w:rFonts w:asciiTheme="majorHAnsi" w:hAnsiTheme="majorHAnsi" w:cstheme="majorHAnsi"/>
          <w:b/>
          <w:bCs/>
          <w:color w:val="2E6DA4"/>
          <w:sz w:val="20"/>
          <w:szCs w:val="20"/>
        </w:rPr>
      </w:pPr>
      <w:r>
        <w:rPr>
          <w:rFonts w:asciiTheme="majorHAnsi" w:hAnsiTheme="majorHAnsi" w:cstheme="majorHAnsi"/>
          <w:sz w:val="20"/>
          <w:szCs w:val="20"/>
        </w:rPr>
        <w:br w:type="page"/>
      </w:r>
    </w:p>
    <w:p w14:paraId="05761845" w14:textId="4B2C7FAE" w:rsidR="008D3AF5" w:rsidRPr="00377CFD" w:rsidRDefault="00000000" w:rsidP="004726E2">
      <w:pPr>
        <w:pStyle w:val="Ttulo2"/>
        <w:jc w:val="both"/>
        <w:rPr>
          <w:rFonts w:asciiTheme="majorHAnsi" w:hAnsiTheme="majorHAnsi" w:cstheme="majorHAnsi"/>
          <w:sz w:val="20"/>
          <w:szCs w:val="20"/>
        </w:rPr>
      </w:pPr>
      <w:bookmarkStart w:id="12" w:name="_Toc228400940"/>
      <w:r w:rsidRPr="00377CFD">
        <w:rPr>
          <w:rFonts w:asciiTheme="majorHAnsi" w:hAnsiTheme="majorHAnsi" w:cstheme="majorHAnsi"/>
          <w:sz w:val="20"/>
          <w:szCs w:val="20"/>
        </w:rPr>
        <w:lastRenderedPageBreak/>
        <w:t>3.4 Tabla Comparativa: Sistema Actual vs. Sistema Propuesto</w:t>
      </w:r>
      <w:bookmarkEnd w:id="12"/>
    </w:p>
    <w:tbl>
      <w:tblPr>
        <w:tblStyle w:val="a8"/>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3430"/>
        <w:gridCol w:w="3430"/>
      </w:tblGrid>
      <w:tr w:rsidR="008D3AF5" w:rsidRPr="00377CFD" w14:paraId="7C427F1D" w14:textId="77777777" w:rsidTr="00CD6708">
        <w:tc>
          <w:tcPr>
            <w:tcW w:w="2500" w:type="dxa"/>
            <w:shd w:val="clear" w:color="auto" w:fill="1B3A5C"/>
            <w:tcMar>
              <w:top w:w="80" w:type="dxa"/>
              <w:left w:w="120" w:type="dxa"/>
              <w:bottom w:w="80" w:type="dxa"/>
              <w:right w:w="120" w:type="dxa"/>
            </w:tcMar>
            <w:vAlign w:val="center"/>
          </w:tcPr>
          <w:p w14:paraId="1E8DC804" w14:textId="77777777" w:rsidR="008D3AF5" w:rsidRPr="00CD6708" w:rsidRDefault="00000000" w:rsidP="005510B9">
            <w:pPr>
              <w:spacing w:line="276" w:lineRule="auto"/>
              <w:jc w:val="center"/>
              <w:rPr>
                <w:rFonts w:asciiTheme="majorHAnsi" w:hAnsiTheme="majorHAnsi" w:cstheme="majorHAnsi"/>
                <w:sz w:val="18"/>
                <w:szCs w:val="18"/>
              </w:rPr>
            </w:pPr>
            <w:r w:rsidRPr="00CD6708">
              <w:rPr>
                <w:rFonts w:asciiTheme="majorHAnsi" w:hAnsiTheme="majorHAnsi" w:cstheme="majorHAnsi"/>
                <w:b/>
                <w:bCs/>
                <w:color w:val="FFFFFF"/>
                <w:sz w:val="18"/>
                <w:szCs w:val="18"/>
              </w:rPr>
              <w:t>Dimensión</w:t>
            </w:r>
          </w:p>
        </w:tc>
        <w:tc>
          <w:tcPr>
            <w:tcW w:w="3430" w:type="dxa"/>
            <w:shd w:val="clear" w:color="auto" w:fill="1B3A5C"/>
            <w:tcMar>
              <w:top w:w="80" w:type="dxa"/>
              <w:left w:w="120" w:type="dxa"/>
              <w:bottom w:w="80" w:type="dxa"/>
              <w:right w:w="120" w:type="dxa"/>
            </w:tcMar>
            <w:vAlign w:val="center"/>
          </w:tcPr>
          <w:p w14:paraId="403EF6BA" w14:textId="77777777" w:rsidR="008D3AF5" w:rsidRPr="00CD6708" w:rsidRDefault="00000000" w:rsidP="005510B9">
            <w:pPr>
              <w:spacing w:line="276" w:lineRule="auto"/>
              <w:jc w:val="center"/>
              <w:rPr>
                <w:rFonts w:asciiTheme="majorHAnsi" w:hAnsiTheme="majorHAnsi" w:cstheme="majorHAnsi"/>
                <w:sz w:val="18"/>
                <w:szCs w:val="18"/>
              </w:rPr>
            </w:pPr>
            <w:r w:rsidRPr="00CD6708">
              <w:rPr>
                <w:rFonts w:asciiTheme="majorHAnsi" w:hAnsiTheme="majorHAnsi" w:cstheme="majorHAnsi"/>
                <w:b/>
                <w:bCs/>
                <w:color w:val="FFFFFF"/>
                <w:sz w:val="18"/>
                <w:szCs w:val="18"/>
              </w:rPr>
              <w:t>Sistema actual (CEN caso a caso)</w:t>
            </w:r>
          </w:p>
        </w:tc>
        <w:tc>
          <w:tcPr>
            <w:tcW w:w="3430" w:type="dxa"/>
            <w:shd w:val="clear" w:color="auto" w:fill="1B3A5C"/>
            <w:tcMar>
              <w:top w:w="80" w:type="dxa"/>
              <w:left w:w="120" w:type="dxa"/>
              <w:bottom w:w="80" w:type="dxa"/>
              <w:right w:w="120" w:type="dxa"/>
            </w:tcMar>
            <w:vAlign w:val="center"/>
          </w:tcPr>
          <w:p w14:paraId="14FC2F4A" w14:textId="77777777" w:rsidR="005510B9" w:rsidRPr="00CD6708" w:rsidRDefault="00000000" w:rsidP="005510B9">
            <w:pPr>
              <w:spacing w:line="276" w:lineRule="auto"/>
              <w:jc w:val="center"/>
              <w:rPr>
                <w:rFonts w:asciiTheme="majorHAnsi" w:hAnsiTheme="majorHAnsi" w:cstheme="majorHAnsi"/>
                <w:b/>
                <w:bCs/>
                <w:color w:val="FFFFFF"/>
                <w:sz w:val="18"/>
                <w:szCs w:val="18"/>
              </w:rPr>
            </w:pPr>
            <w:r w:rsidRPr="00CD6708">
              <w:rPr>
                <w:rFonts w:asciiTheme="majorHAnsi" w:hAnsiTheme="majorHAnsi" w:cstheme="majorHAnsi"/>
                <w:b/>
                <w:bCs/>
                <w:color w:val="FFFFFF"/>
                <w:sz w:val="18"/>
                <w:szCs w:val="18"/>
              </w:rPr>
              <w:t>Sistema propuesto</w:t>
            </w:r>
          </w:p>
          <w:p w14:paraId="4A8C1D07" w14:textId="29AEF20A" w:rsidR="008D3AF5" w:rsidRPr="00CD6708" w:rsidRDefault="00000000" w:rsidP="005510B9">
            <w:pPr>
              <w:spacing w:line="276" w:lineRule="auto"/>
              <w:jc w:val="center"/>
              <w:rPr>
                <w:rFonts w:asciiTheme="majorHAnsi" w:hAnsiTheme="majorHAnsi" w:cstheme="majorHAnsi"/>
                <w:sz w:val="18"/>
                <w:szCs w:val="18"/>
              </w:rPr>
            </w:pPr>
            <w:r w:rsidRPr="00CD6708">
              <w:rPr>
                <w:rFonts w:asciiTheme="majorHAnsi" w:hAnsiTheme="majorHAnsi" w:cstheme="majorHAnsi"/>
                <w:b/>
                <w:bCs/>
                <w:color w:val="FFFFFF"/>
                <w:sz w:val="18"/>
                <w:szCs w:val="18"/>
              </w:rPr>
              <w:t>(RENAPMA + CEN residual)</w:t>
            </w:r>
          </w:p>
        </w:tc>
      </w:tr>
      <w:tr w:rsidR="008D3AF5" w:rsidRPr="00377CFD" w14:paraId="0A925759" w14:textId="77777777" w:rsidTr="00CD6708">
        <w:tc>
          <w:tcPr>
            <w:tcW w:w="2500" w:type="dxa"/>
            <w:shd w:val="clear" w:color="auto" w:fill="FFFFFF"/>
            <w:tcMar>
              <w:top w:w="80" w:type="dxa"/>
              <w:left w:w="120" w:type="dxa"/>
              <w:bottom w:w="80" w:type="dxa"/>
              <w:right w:w="120" w:type="dxa"/>
            </w:tcMar>
            <w:vAlign w:val="center"/>
          </w:tcPr>
          <w:p w14:paraId="1E13791E"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Inicio de efectos</w:t>
            </w:r>
          </w:p>
        </w:tc>
        <w:tc>
          <w:tcPr>
            <w:tcW w:w="3430" w:type="dxa"/>
            <w:shd w:val="clear" w:color="auto" w:fill="FFFFFF"/>
            <w:tcMar>
              <w:top w:w="80" w:type="dxa"/>
              <w:left w:w="120" w:type="dxa"/>
              <w:bottom w:w="80" w:type="dxa"/>
              <w:right w:w="120" w:type="dxa"/>
            </w:tcMar>
            <w:vAlign w:val="center"/>
          </w:tcPr>
          <w:p w14:paraId="6C1A37DB"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Mes siguiente a ejecutoría del dictamen (sin retroactividad)</w:t>
            </w:r>
          </w:p>
        </w:tc>
        <w:tc>
          <w:tcPr>
            <w:tcW w:w="3430" w:type="dxa"/>
            <w:shd w:val="clear" w:color="auto" w:fill="FFFFFF"/>
            <w:tcMar>
              <w:top w:w="80" w:type="dxa"/>
              <w:left w:w="120" w:type="dxa"/>
              <w:bottom w:w="80" w:type="dxa"/>
              <w:right w:w="120" w:type="dxa"/>
            </w:tcMar>
            <w:vAlign w:val="center"/>
          </w:tcPr>
          <w:p w14:paraId="44DDC318"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Fecha de ocurrencia de la condición habilitante (efecto retroactivo hasta 5 años)</w:t>
            </w:r>
          </w:p>
        </w:tc>
      </w:tr>
      <w:tr w:rsidR="008D3AF5" w:rsidRPr="00377CFD" w14:paraId="4255B157" w14:textId="77777777" w:rsidTr="00CD6708">
        <w:tc>
          <w:tcPr>
            <w:tcW w:w="2500" w:type="dxa"/>
            <w:shd w:val="clear" w:color="auto" w:fill="EAF2F8"/>
            <w:tcMar>
              <w:top w:w="80" w:type="dxa"/>
              <w:left w:w="120" w:type="dxa"/>
              <w:bottom w:w="80" w:type="dxa"/>
              <w:right w:w="120" w:type="dxa"/>
            </w:tcMar>
            <w:vAlign w:val="center"/>
          </w:tcPr>
          <w:p w14:paraId="2B2DACD4"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Plazo calificación</w:t>
            </w:r>
          </w:p>
        </w:tc>
        <w:tc>
          <w:tcPr>
            <w:tcW w:w="3430" w:type="dxa"/>
            <w:shd w:val="clear" w:color="auto" w:fill="EAF2F8"/>
            <w:tcMar>
              <w:top w:w="80" w:type="dxa"/>
              <w:left w:w="120" w:type="dxa"/>
              <w:bottom w:w="80" w:type="dxa"/>
              <w:right w:w="120" w:type="dxa"/>
            </w:tcMar>
            <w:vAlign w:val="center"/>
          </w:tcPr>
          <w:p w14:paraId="124BFD09"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60 días formales + suspensiones + apelación = 18 a 36 meses reales</w:t>
            </w:r>
          </w:p>
        </w:tc>
        <w:tc>
          <w:tcPr>
            <w:tcW w:w="3430" w:type="dxa"/>
            <w:shd w:val="clear" w:color="auto" w:fill="EAF2F8"/>
            <w:tcMar>
              <w:top w:w="80" w:type="dxa"/>
              <w:left w:w="120" w:type="dxa"/>
              <w:bottom w:w="80" w:type="dxa"/>
              <w:right w:w="120" w:type="dxa"/>
            </w:tcMar>
            <w:vAlign w:val="center"/>
          </w:tcPr>
          <w:p w14:paraId="083708B5"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30 días para inscripción + 15 días para validación = &lt; 90 días</w:t>
            </w:r>
          </w:p>
        </w:tc>
      </w:tr>
      <w:tr w:rsidR="008D3AF5" w:rsidRPr="00377CFD" w14:paraId="689ABA07" w14:textId="77777777" w:rsidTr="00CD6708">
        <w:tc>
          <w:tcPr>
            <w:tcW w:w="2500" w:type="dxa"/>
            <w:shd w:val="clear" w:color="auto" w:fill="FFFFFF"/>
            <w:tcMar>
              <w:top w:w="80" w:type="dxa"/>
              <w:left w:w="120" w:type="dxa"/>
              <w:bottom w:w="80" w:type="dxa"/>
              <w:right w:w="120" w:type="dxa"/>
            </w:tcMar>
            <w:vAlign w:val="center"/>
          </w:tcPr>
          <w:p w14:paraId="6C81292D"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Estándar de decisión</w:t>
            </w:r>
          </w:p>
        </w:tc>
        <w:tc>
          <w:tcPr>
            <w:tcW w:w="3430" w:type="dxa"/>
            <w:shd w:val="clear" w:color="auto" w:fill="FFFFFF"/>
            <w:tcMar>
              <w:top w:w="80" w:type="dxa"/>
              <w:left w:w="120" w:type="dxa"/>
              <w:bottom w:w="80" w:type="dxa"/>
              <w:right w:w="120" w:type="dxa"/>
            </w:tcMar>
            <w:vAlign w:val="center"/>
          </w:tcPr>
          <w:p w14:paraId="321583A2"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Ponderación holística y discrecional de 4 factores</w:t>
            </w:r>
          </w:p>
        </w:tc>
        <w:tc>
          <w:tcPr>
            <w:tcW w:w="3430" w:type="dxa"/>
            <w:shd w:val="clear" w:color="auto" w:fill="FFFFFF"/>
            <w:tcMar>
              <w:top w:w="80" w:type="dxa"/>
              <w:left w:w="120" w:type="dxa"/>
              <w:bottom w:w="80" w:type="dxa"/>
              <w:right w:w="120" w:type="dxa"/>
            </w:tcMar>
            <w:vAlign w:val="center"/>
          </w:tcPr>
          <w:p w14:paraId="7E67A10F"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Verificación objetiva de 1 o más de 7 factores mensurables</w:t>
            </w:r>
          </w:p>
        </w:tc>
      </w:tr>
      <w:tr w:rsidR="008D3AF5" w:rsidRPr="00377CFD" w14:paraId="70F2121F" w14:textId="77777777" w:rsidTr="00CD6708">
        <w:tc>
          <w:tcPr>
            <w:tcW w:w="2500" w:type="dxa"/>
            <w:shd w:val="clear" w:color="auto" w:fill="EAF2F8"/>
            <w:tcMar>
              <w:top w:w="80" w:type="dxa"/>
              <w:left w:w="120" w:type="dxa"/>
              <w:bottom w:w="80" w:type="dxa"/>
              <w:right w:w="120" w:type="dxa"/>
            </w:tcMar>
            <w:vAlign w:val="center"/>
          </w:tcPr>
          <w:p w14:paraId="12DF88DF"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Cobertura subcontratistas</w:t>
            </w:r>
          </w:p>
        </w:tc>
        <w:tc>
          <w:tcPr>
            <w:tcW w:w="3430" w:type="dxa"/>
            <w:shd w:val="clear" w:color="auto" w:fill="EAF2F8"/>
            <w:tcMar>
              <w:top w:w="80" w:type="dxa"/>
              <w:left w:w="120" w:type="dxa"/>
              <w:bottom w:w="80" w:type="dxa"/>
              <w:right w:w="120" w:type="dxa"/>
            </w:tcMar>
            <w:vAlign w:val="center"/>
          </w:tcPr>
          <w:p w14:paraId="24927CD3"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Solo si empleador principal tramita y obtiene dictamen vigente</w:t>
            </w:r>
          </w:p>
        </w:tc>
        <w:tc>
          <w:tcPr>
            <w:tcW w:w="3430" w:type="dxa"/>
            <w:shd w:val="clear" w:color="auto" w:fill="EAF2F8"/>
            <w:tcMar>
              <w:top w:w="80" w:type="dxa"/>
              <w:left w:w="120" w:type="dxa"/>
              <w:bottom w:w="80" w:type="dxa"/>
              <w:right w:w="120" w:type="dxa"/>
            </w:tcMar>
            <w:vAlign w:val="center"/>
          </w:tcPr>
          <w:p w14:paraId="22CB6BC4"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Automática: la inscripción del puesto cubre a todos sus ocupantes</w:t>
            </w:r>
          </w:p>
        </w:tc>
      </w:tr>
      <w:tr w:rsidR="008D3AF5" w:rsidRPr="00377CFD" w14:paraId="2F2A506B" w14:textId="77777777" w:rsidTr="00CD6708">
        <w:tc>
          <w:tcPr>
            <w:tcW w:w="2500" w:type="dxa"/>
            <w:shd w:val="clear" w:color="auto" w:fill="FFFFFF"/>
            <w:tcMar>
              <w:top w:w="80" w:type="dxa"/>
              <w:left w:w="120" w:type="dxa"/>
              <w:bottom w:w="80" w:type="dxa"/>
              <w:right w:w="120" w:type="dxa"/>
            </w:tcMar>
            <w:vAlign w:val="center"/>
          </w:tcPr>
          <w:p w14:paraId="11AE19E3"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Renovación</w:t>
            </w:r>
          </w:p>
        </w:tc>
        <w:tc>
          <w:tcPr>
            <w:tcW w:w="3430" w:type="dxa"/>
            <w:shd w:val="clear" w:color="auto" w:fill="FFFFFF"/>
            <w:tcMar>
              <w:top w:w="80" w:type="dxa"/>
              <w:left w:w="120" w:type="dxa"/>
              <w:bottom w:w="80" w:type="dxa"/>
              <w:right w:w="120" w:type="dxa"/>
            </w:tcMar>
            <w:vAlign w:val="center"/>
          </w:tcPr>
          <w:p w14:paraId="5F23DF39"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No exigida formalmente, pero registros se desactualizan</w:t>
            </w:r>
          </w:p>
        </w:tc>
        <w:tc>
          <w:tcPr>
            <w:tcW w:w="3430" w:type="dxa"/>
            <w:shd w:val="clear" w:color="auto" w:fill="FFFFFF"/>
            <w:tcMar>
              <w:top w:w="80" w:type="dxa"/>
              <w:left w:w="120" w:type="dxa"/>
              <w:bottom w:w="80" w:type="dxa"/>
              <w:right w:w="120" w:type="dxa"/>
            </w:tcMar>
            <w:vAlign w:val="center"/>
          </w:tcPr>
          <w:p w14:paraId="7E376BAA"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Automática; solo notificación de cambios de condición</w:t>
            </w:r>
          </w:p>
        </w:tc>
      </w:tr>
      <w:tr w:rsidR="008D3AF5" w:rsidRPr="00377CFD" w14:paraId="651E51AB" w14:textId="77777777" w:rsidTr="00CD6708">
        <w:tc>
          <w:tcPr>
            <w:tcW w:w="2500" w:type="dxa"/>
            <w:shd w:val="clear" w:color="auto" w:fill="EAF2F8"/>
            <w:tcMar>
              <w:top w:w="80" w:type="dxa"/>
              <w:left w:w="120" w:type="dxa"/>
              <w:bottom w:w="80" w:type="dxa"/>
              <w:right w:w="120" w:type="dxa"/>
            </w:tcMar>
            <w:vAlign w:val="center"/>
          </w:tcPr>
          <w:p w14:paraId="055BF5DC"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Rebaja cotización al 1%</w:t>
            </w:r>
          </w:p>
        </w:tc>
        <w:tc>
          <w:tcPr>
            <w:tcW w:w="3430" w:type="dxa"/>
            <w:shd w:val="clear" w:color="auto" w:fill="EAF2F8"/>
            <w:tcMar>
              <w:top w:w="80" w:type="dxa"/>
              <w:left w:w="120" w:type="dxa"/>
              <w:bottom w:w="80" w:type="dxa"/>
              <w:right w:w="120" w:type="dxa"/>
            </w:tcMar>
            <w:vAlign w:val="center"/>
          </w:tcPr>
          <w:p w14:paraId="33F3BC5C"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Discrecional de la CEN al momento del dictamen (escasamente aplicada)</w:t>
            </w:r>
          </w:p>
        </w:tc>
        <w:tc>
          <w:tcPr>
            <w:tcW w:w="3430" w:type="dxa"/>
            <w:shd w:val="clear" w:color="auto" w:fill="EAF2F8"/>
            <w:tcMar>
              <w:top w:w="80" w:type="dxa"/>
              <w:left w:w="120" w:type="dxa"/>
              <w:bottom w:w="80" w:type="dxa"/>
              <w:right w:w="120" w:type="dxa"/>
            </w:tcMar>
            <w:vAlign w:val="center"/>
          </w:tcPr>
          <w:p w14:paraId="288DDB2F"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eastAsia="Arial Unicode MS" w:hAnsiTheme="majorHAnsi" w:cstheme="majorHAnsi"/>
                <w:color w:val="1A1A1A"/>
                <w:sz w:val="18"/>
                <w:szCs w:val="18"/>
              </w:rPr>
              <w:t>Automática al concurrir ≥ 2 factores objetivos documentados</w:t>
            </w:r>
          </w:p>
        </w:tc>
      </w:tr>
      <w:tr w:rsidR="008D3AF5" w:rsidRPr="00377CFD" w14:paraId="7BF39F1A" w14:textId="77777777" w:rsidTr="00CD6708">
        <w:tc>
          <w:tcPr>
            <w:tcW w:w="2500" w:type="dxa"/>
            <w:shd w:val="clear" w:color="auto" w:fill="FFFFFF"/>
            <w:tcMar>
              <w:top w:w="80" w:type="dxa"/>
              <w:left w:w="120" w:type="dxa"/>
              <w:bottom w:w="80" w:type="dxa"/>
              <w:right w:w="120" w:type="dxa"/>
            </w:tcMar>
            <w:vAlign w:val="center"/>
          </w:tcPr>
          <w:p w14:paraId="573004C8"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Control y auditoría</w:t>
            </w:r>
          </w:p>
        </w:tc>
        <w:tc>
          <w:tcPr>
            <w:tcW w:w="3430" w:type="dxa"/>
            <w:shd w:val="clear" w:color="auto" w:fill="FFFFFF"/>
            <w:tcMar>
              <w:top w:w="80" w:type="dxa"/>
              <w:left w:w="120" w:type="dxa"/>
              <w:bottom w:w="80" w:type="dxa"/>
              <w:right w:w="120" w:type="dxa"/>
            </w:tcMar>
            <w:vAlign w:val="center"/>
          </w:tcPr>
          <w:p w14:paraId="68344991"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Fiscalización reactiva, a denuncia</w:t>
            </w:r>
          </w:p>
        </w:tc>
        <w:tc>
          <w:tcPr>
            <w:tcW w:w="3430" w:type="dxa"/>
            <w:shd w:val="clear" w:color="auto" w:fill="FFFFFF"/>
            <w:tcMar>
              <w:top w:w="80" w:type="dxa"/>
              <w:left w:w="120" w:type="dxa"/>
              <w:bottom w:w="80" w:type="dxa"/>
              <w:right w:w="120" w:type="dxa"/>
            </w:tcMar>
            <w:vAlign w:val="center"/>
          </w:tcPr>
          <w:p w14:paraId="38F72282"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Auditoría aleatoria anual del 15% de puestos inscritos</w:t>
            </w:r>
          </w:p>
        </w:tc>
      </w:tr>
      <w:tr w:rsidR="008D3AF5" w:rsidRPr="00377CFD" w14:paraId="4AC94ADF" w14:textId="77777777" w:rsidTr="00CD6708">
        <w:tc>
          <w:tcPr>
            <w:tcW w:w="2500" w:type="dxa"/>
            <w:shd w:val="clear" w:color="auto" w:fill="EAF2F8"/>
            <w:tcMar>
              <w:top w:w="80" w:type="dxa"/>
              <w:left w:w="120" w:type="dxa"/>
              <w:bottom w:w="80" w:type="dxa"/>
              <w:right w:w="120" w:type="dxa"/>
            </w:tcMar>
            <w:vAlign w:val="center"/>
          </w:tcPr>
          <w:p w14:paraId="4C2BAC65"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Rol CEN post-reforma</w:t>
            </w:r>
          </w:p>
        </w:tc>
        <w:tc>
          <w:tcPr>
            <w:tcW w:w="3430" w:type="dxa"/>
            <w:shd w:val="clear" w:color="auto" w:fill="EAF2F8"/>
            <w:tcMar>
              <w:top w:w="80" w:type="dxa"/>
              <w:left w:w="120" w:type="dxa"/>
              <w:bottom w:w="80" w:type="dxa"/>
              <w:right w:w="120" w:type="dxa"/>
            </w:tcMar>
            <w:vAlign w:val="center"/>
          </w:tcPr>
          <w:p w14:paraId="42817396"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Procesamiento de todos los casos del sector</w:t>
            </w:r>
          </w:p>
        </w:tc>
        <w:tc>
          <w:tcPr>
            <w:tcW w:w="3430" w:type="dxa"/>
            <w:shd w:val="clear" w:color="auto" w:fill="EAF2F8"/>
            <w:tcMar>
              <w:top w:w="80" w:type="dxa"/>
              <w:left w:w="120" w:type="dxa"/>
              <w:bottom w:w="80" w:type="dxa"/>
              <w:right w:w="120" w:type="dxa"/>
            </w:tcMar>
            <w:vAlign w:val="center"/>
          </w:tcPr>
          <w:p w14:paraId="7B3C139C" w14:textId="77777777" w:rsidR="008D3AF5" w:rsidRPr="00CD6708" w:rsidRDefault="00000000" w:rsidP="004726E2">
            <w:pPr>
              <w:spacing w:line="276" w:lineRule="auto"/>
              <w:jc w:val="both"/>
              <w:rPr>
                <w:rFonts w:asciiTheme="majorHAnsi" w:hAnsiTheme="majorHAnsi" w:cstheme="majorHAnsi"/>
                <w:sz w:val="18"/>
                <w:szCs w:val="18"/>
              </w:rPr>
            </w:pPr>
            <w:r w:rsidRPr="00CD6708">
              <w:rPr>
                <w:rFonts w:asciiTheme="majorHAnsi" w:hAnsiTheme="majorHAnsi" w:cstheme="majorHAnsi"/>
                <w:color w:val="1A1A1A"/>
                <w:sz w:val="18"/>
                <w:szCs w:val="18"/>
              </w:rPr>
              <w:t>Solo casos sin factor objetivo, impugnaciones y actualización de protocolos</w:t>
            </w:r>
          </w:p>
        </w:tc>
      </w:tr>
    </w:tbl>
    <w:p w14:paraId="274A28F3"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sz w:val="20"/>
          <w:szCs w:val="20"/>
        </w:rPr>
        <w:br w:type="page"/>
      </w:r>
    </w:p>
    <w:p w14:paraId="6311C73F" w14:textId="77777777" w:rsidR="008D3AF5" w:rsidRPr="00377CFD" w:rsidRDefault="00000000" w:rsidP="004726E2">
      <w:pPr>
        <w:pStyle w:val="Ttulo1"/>
        <w:pBdr>
          <w:bottom w:val="single" w:sz="10" w:space="0" w:color="C8922A"/>
        </w:pBdr>
        <w:jc w:val="both"/>
        <w:rPr>
          <w:rFonts w:asciiTheme="majorHAnsi" w:hAnsiTheme="majorHAnsi" w:cstheme="majorHAnsi"/>
          <w:sz w:val="20"/>
          <w:szCs w:val="20"/>
        </w:rPr>
      </w:pPr>
      <w:bookmarkStart w:id="13" w:name="_Toc228400941"/>
      <w:r w:rsidRPr="00377CFD">
        <w:rPr>
          <w:rFonts w:asciiTheme="majorHAnsi" w:hAnsiTheme="majorHAnsi" w:cstheme="majorHAnsi"/>
          <w:sz w:val="20"/>
          <w:szCs w:val="20"/>
        </w:rPr>
        <w:lastRenderedPageBreak/>
        <w:t>IV. RUTA DE IMPLEMENTACIÓN EN 7 PASOS</w:t>
      </w:r>
      <w:bookmarkEnd w:id="13"/>
    </w:p>
    <w:p w14:paraId="3C1594FA"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transición del sistema discrecional al sistema automatizado requiere una secuencia ordenada de cambios regulatorios, administrativos, tecnológicos y de capacitación. La ruta propuesta tiene una duración total estimada de 24 meses desde la promulgación de la ley modificatoria.</w:t>
      </w:r>
    </w:p>
    <w:p w14:paraId="2301138A"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tbl>
      <w:tblPr>
        <w:tblStyle w:val="a9"/>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8460"/>
      </w:tblGrid>
      <w:tr w:rsidR="008D3AF5" w:rsidRPr="00377CFD" w14:paraId="07A644CF" w14:textId="77777777" w:rsidTr="00CD6708">
        <w:tc>
          <w:tcPr>
            <w:tcW w:w="900" w:type="dxa"/>
            <w:shd w:val="clear" w:color="auto" w:fill="C8922A"/>
            <w:tcMar>
              <w:top w:w="100" w:type="dxa"/>
              <w:left w:w="100" w:type="dxa"/>
              <w:bottom w:w="100" w:type="dxa"/>
              <w:right w:w="100" w:type="dxa"/>
            </w:tcMar>
            <w:vAlign w:val="center"/>
          </w:tcPr>
          <w:p w14:paraId="7B574B01" w14:textId="77777777" w:rsidR="008D3AF5" w:rsidRPr="00377CFD" w:rsidRDefault="00000000" w:rsidP="00CD6708">
            <w:pPr>
              <w:spacing w:line="276" w:lineRule="auto"/>
              <w:jc w:val="center"/>
              <w:rPr>
                <w:rFonts w:asciiTheme="majorHAnsi" w:hAnsiTheme="majorHAnsi" w:cstheme="majorHAnsi"/>
                <w:sz w:val="20"/>
                <w:szCs w:val="20"/>
              </w:rPr>
            </w:pPr>
            <w:r w:rsidRPr="00377CFD">
              <w:rPr>
                <w:rFonts w:asciiTheme="majorHAnsi" w:hAnsiTheme="majorHAnsi" w:cstheme="majorHAnsi"/>
                <w:b/>
                <w:bCs/>
                <w:color w:val="FFFFFF"/>
                <w:sz w:val="20"/>
                <w:szCs w:val="20"/>
              </w:rPr>
              <w:t>1</w:t>
            </w:r>
          </w:p>
        </w:tc>
        <w:tc>
          <w:tcPr>
            <w:tcW w:w="8460" w:type="dxa"/>
            <w:shd w:val="clear" w:color="auto" w:fill="EAF2F8"/>
            <w:tcMar>
              <w:top w:w="100" w:type="dxa"/>
              <w:left w:w="160" w:type="dxa"/>
              <w:bottom w:w="100" w:type="dxa"/>
              <w:right w:w="160" w:type="dxa"/>
            </w:tcMar>
          </w:tcPr>
          <w:p w14:paraId="5EE55634" w14:textId="77777777" w:rsidR="008D3AF5" w:rsidRPr="00377CFD" w:rsidRDefault="00000000" w:rsidP="004726E2">
            <w:pPr>
              <w:spacing w:after="80" w:line="276" w:lineRule="auto"/>
              <w:jc w:val="both"/>
              <w:rPr>
                <w:rFonts w:asciiTheme="majorHAnsi" w:hAnsiTheme="majorHAnsi" w:cstheme="majorHAnsi"/>
                <w:sz w:val="20"/>
                <w:szCs w:val="20"/>
              </w:rPr>
            </w:pPr>
            <w:r w:rsidRPr="00377CFD">
              <w:rPr>
                <w:rFonts w:asciiTheme="majorHAnsi" w:hAnsiTheme="majorHAnsi" w:cstheme="majorHAnsi"/>
                <w:b/>
                <w:bCs/>
                <w:color w:val="1B3A5C"/>
                <w:sz w:val="20"/>
                <w:szCs w:val="20"/>
              </w:rPr>
              <w:t>REFORMA LEGAL Y REGLAMENTARIA (Meses 1–4)</w:t>
            </w:r>
          </w:p>
          <w:p w14:paraId="1F28F803"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Objetivo: </w:t>
            </w:r>
            <w:r w:rsidRPr="00377CFD">
              <w:rPr>
                <w:rFonts w:asciiTheme="majorHAnsi" w:hAnsiTheme="majorHAnsi" w:cstheme="majorHAnsi"/>
                <w:color w:val="1A1A1A"/>
                <w:sz w:val="20"/>
                <w:szCs w:val="20"/>
              </w:rPr>
              <w:t>Promulgar la modificación legal y el decreto reglamentario complementario.</w:t>
            </w:r>
          </w:p>
          <w:p w14:paraId="01BF4CE2"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Tramitar proyecto de ley modificatorio de la Ley N° 19.404 ante el Congreso (urgencia simple sugerida). Ingresar por la Cámara de Diputados, comisión de Trabajo y Previsión Social.</w:t>
            </w:r>
          </w:p>
          <w:p w14:paraId="22F519A6"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Paralelamente, elaborar el proyecto de D.S. modificatorio del D.S. N° 71 incorporando el nuevo Título V bis (RENAPMA). Este decreto no requiere ley habilitante adicional: el Art. 3° vigente de la Ley N° 19.404 ya faculta al reglamento para establecer el instrumento guía.</w:t>
            </w:r>
          </w:p>
          <w:p w14:paraId="2FE5BAD7"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Realizar proceso de consulta tripartita (CUT, CPC, SONAMI, COCHILCO, CEN, Superintendencia de Pensiones) durante la tramitación parlamentaria.</w:t>
            </w:r>
          </w:p>
          <w:p w14:paraId="1B3DAA2B"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Toma de razón por la Contraloría General de la República del decreto modificatorio.</w:t>
            </w:r>
          </w:p>
          <w:p w14:paraId="27B5E1DB"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6B35"/>
                <w:sz w:val="20"/>
                <w:szCs w:val="20"/>
              </w:rPr>
              <w:t xml:space="preserve">Hito: </w:t>
            </w:r>
            <w:r w:rsidRPr="00377CFD">
              <w:rPr>
                <w:rFonts w:asciiTheme="majorHAnsi" w:hAnsiTheme="majorHAnsi" w:cstheme="majorHAnsi"/>
                <w:color w:val="1A1A1A"/>
                <w:sz w:val="20"/>
                <w:szCs w:val="20"/>
              </w:rPr>
              <w:t>Publicación en Diario Oficial de la ley modificatoria y del decreto reglamentario.</w:t>
            </w:r>
          </w:p>
        </w:tc>
      </w:tr>
    </w:tbl>
    <w:p w14:paraId="10AA8029"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tbl>
      <w:tblPr>
        <w:tblStyle w:val="a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8460"/>
      </w:tblGrid>
      <w:tr w:rsidR="008D3AF5" w:rsidRPr="00377CFD" w14:paraId="1A5B88EA" w14:textId="77777777">
        <w:tc>
          <w:tcPr>
            <w:tcW w:w="900" w:type="dxa"/>
            <w:tcBorders>
              <w:top w:val="single" w:sz="4" w:space="0" w:color="C8922A"/>
              <w:left w:val="single" w:sz="4" w:space="0" w:color="C8922A"/>
              <w:bottom w:val="single" w:sz="4" w:space="0" w:color="C8922A"/>
              <w:right w:val="single" w:sz="4" w:space="0" w:color="C8922A"/>
            </w:tcBorders>
            <w:shd w:val="clear" w:color="auto" w:fill="C8922A"/>
            <w:tcMar>
              <w:top w:w="100" w:type="dxa"/>
              <w:left w:w="100" w:type="dxa"/>
              <w:bottom w:w="100" w:type="dxa"/>
              <w:right w:w="100" w:type="dxa"/>
            </w:tcMar>
            <w:vAlign w:val="center"/>
          </w:tcPr>
          <w:p w14:paraId="780358E4" w14:textId="77777777" w:rsidR="008D3AF5" w:rsidRPr="00377CFD" w:rsidRDefault="00000000" w:rsidP="00CD6708">
            <w:pPr>
              <w:spacing w:line="276" w:lineRule="auto"/>
              <w:jc w:val="center"/>
              <w:rPr>
                <w:rFonts w:asciiTheme="majorHAnsi" w:hAnsiTheme="majorHAnsi" w:cstheme="majorHAnsi"/>
                <w:sz w:val="20"/>
                <w:szCs w:val="20"/>
              </w:rPr>
            </w:pPr>
            <w:r w:rsidRPr="00377CFD">
              <w:rPr>
                <w:rFonts w:asciiTheme="majorHAnsi" w:hAnsiTheme="majorHAnsi" w:cstheme="majorHAnsi"/>
                <w:b/>
                <w:bCs/>
                <w:color w:val="FFFFFF"/>
                <w:sz w:val="20"/>
                <w:szCs w:val="20"/>
              </w:rPr>
              <w:t>2</w:t>
            </w:r>
          </w:p>
        </w:tc>
        <w:tc>
          <w:tcPr>
            <w:tcW w:w="8460" w:type="dxa"/>
            <w:tcBorders>
              <w:top w:val="single" w:sz="4" w:space="0" w:color="C8922A"/>
              <w:left w:val="single" w:sz="4" w:space="0" w:color="C8922A"/>
              <w:bottom w:val="single" w:sz="4" w:space="0" w:color="C8922A"/>
              <w:right w:val="single" w:sz="4" w:space="0" w:color="C8922A"/>
            </w:tcBorders>
            <w:shd w:val="clear" w:color="auto" w:fill="EAF2F8"/>
            <w:tcMar>
              <w:top w:w="100" w:type="dxa"/>
              <w:left w:w="160" w:type="dxa"/>
              <w:bottom w:w="100" w:type="dxa"/>
              <w:right w:w="160" w:type="dxa"/>
            </w:tcMar>
          </w:tcPr>
          <w:p w14:paraId="33762548" w14:textId="77777777" w:rsidR="008D3AF5" w:rsidRPr="00377CFD" w:rsidRDefault="00000000" w:rsidP="004726E2">
            <w:pPr>
              <w:spacing w:after="80" w:line="276" w:lineRule="auto"/>
              <w:jc w:val="both"/>
              <w:rPr>
                <w:rFonts w:asciiTheme="majorHAnsi" w:hAnsiTheme="majorHAnsi" w:cstheme="majorHAnsi"/>
                <w:sz w:val="20"/>
                <w:szCs w:val="20"/>
              </w:rPr>
            </w:pPr>
            <w:r w:rsidRPr="00377CFD">
              <w:rPr>
                <w:rFonts w:asciiTheme="majorHAnsi" w:hAnsiTheme="majorHAnsi" w:cstheme="majorHAnsi"/>
                <w:b/>
                <w:bCs/>
                <w:color w:val="1B3A5C"/>
                <w:sz w:val="20"/>
                <w:szCs w:val="20"/>
              </w:rPr>
              <w:t>DISEÑO E IMPLEMENTACIÓN DEL RENAPMA DIGITAL (Meses 3–8)</w:t>
            </w:r>
          </w:p>
          <w:p w14:paraId="5680F7C6"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Objetivo: </w:t>
            </w:r>
            <w:r w:rsidRPr="00377CFD">
              <w:rPr>
                <w:rFonts w:asciiTheme="majorHAnsi" w:hAnsiTheme="majorHAnsi" w:cstheme="majorHAnsi"/>
                <w:color w:val="1A1A1A"/>
                <w:sz w:val="20"/>
                <w:szCs w:val="20"/>
              </w:rPr>
              <w:t>Construir la plataforma electrónica del RENAPMA integrada con los sistemas existentes.</w:t>
            </w:r>
          </w:p>
          <w:p w14:paraId="2CAE3EBF"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La Superintendencia de Pensiones liderará el desarrollo del módulo RENAPMA en su plataforma digital, en coordinación con la DT (integración con RER y registro de jornadas excepcionales Art. 38 CT) y SERNAGEOMIN (coordenadas y altitud de concesiones).</w:t>
            </w:r>
          </w:p>
          <w:p w14:paraId="33A9FABB"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Diseñar el formulario único de inscripción con campos para: RUT empresa/faena, código puesto (CIUO-08), factor(es) objetivos invocados, documentos de respaldo digitalizados, y API de conexión con sistemas de organismos administradores Ley 16.744.</w:t>
            </w:r>
          </w:p>
          <w:p w14:paraId="1B04AD81"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Desarrollar módulo de trazabilidad individual: cruce automático entre RENAPMA y el RUT del trabajador para actualización de la libreta previsional en AFP/IPS.</w:t>
            </w:r>
          </w:p>
          <w:p w14:paraId="1D80F1FA"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Pruebas piloto en 3 faenas de CODELCO (Chuquicamata, El Teniente, Radomiro Tomic) como casos de validación técnica.</w:t>
            </w:r>
          </w:p>
          <w:p w14:paraId="76CFBB90"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6B35"/>
                <w:sz w:val="20"/>
                <w:szCs w:val="20"/>
              </w:rPr>
              <w:t xml:space="preserve">Hito: </w:t>
            </w:r>
            <w:r w:rsidRPr="00377CFD">
              <w:rPr>
                <w:rFonts w:asciiTheme="majorHAnsi" w:hAnsiTheme="majorHAnsi" w:cstheme="majorHAnsi"/>
                <w:color w:val="1A1A1A"/>
                <w:sz w:val="20"/>
                <w:szCs w:val="20"/>
              </w:rPr>
              <w:t>RENAPMA operativo en ambiente de producción.</w:t>
            </w:r>
          </w:p>
        </w:tc>
      </w:tr>
    </w:tbl>
    <w:p w14:paraId="44A02763" w14:textId="01238BD6" w:rsidR="00CD6708" w:rsidRDefault="00000000" w:rsidP="004726E2">
      <w:pPr>
        <w:spacing w:after="100"/>
        <w:jc w:val="both"/>
        <w:rPr>
          <w:rFonts w:asciiTheme="majorHAnsi" w:hAnsiTheme="majorHAnsi" w:cstheme="majorHAnsi"/>
          <w:color w:val="1A1A1A"/>
          <w:sz w:val="20"/>
          <w:szCs w:val="20"/>
        </w:rPr>
      </w:pPr>
      <w:r w:rsidRPr="00377CFD">
        <w:rPr>
          <w:rFonts w:asciiTheme="majorHAnsi" w:hAnsiTheme="majorHAnsi" w:cstheme="majorHAnsi"/>
          <w:color w:val="1A1A1A"/>
          <w:sz w:val="20"/>
          <w:szCs w:val="20"/>
        </w:rPr>
        <w:t xml:space="preserve"> </w:t>
      </w:r>
    </w:p>
    <w:p w14:paraId="4BB835C2" w14:textId="77777777" w:rsidR="00CD6708" w:rsidRDefault="00CD6708">
      <w:pPr>
        <w:rPr>
          <w:rFonts w:asciiTheme="majorHAnsi" w:hAnsiTheme="majorHAnsi" w:cstheme="majorHAnsi"/>
          <w:color w:val="1A1A1A"/>
          <w:sz w:val="20"/>
          <w:szCs w:val="20"/>
        </w:rPr>
      </w:pPr>
      <w:r>
        <w:rPr>
          <w:rFonts w:asciiTheme="majorHAnsi" w:hAnsiTheme="majorHAnsi" w:cstheme="majorHAnsi"/>
          <w:color w:val="1A1A1A"/>
          <w:sz w:val="20"/>
          <w:szCs w:val="20"/>
        </w:rPr>
        <w:br w:type="page"/>
      </w:r>
    </w:p>
    <w:p w14:paraId="0BDB8FAD" w14:textId="77777777" w:rsidR="008D3AF5" w:rsidRPr="00377CFD" w:rsidRDefault="008D3AF5" w:rsidP="004726E2">
      <w:pPr>
        <w:spacing w:after="100"/>
        <w:jc w:val="both"/>
        <w:rPr>
          <w:rFonts w:asciiTheme="majorHAnsi" w:hAnsiTheme="majorHAnsi" w:cstheme="majorHAnsi"/>
          <w:sz w:val="20"/>
          <w:szCs w:val="20"/>
        </w:rPr>
      </w:pPr>
    </w:p>
    <w:tbl>
      <w:tblPr>
        <w:tblStyle w:val="ab"/>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8460"/>
      </w:tblGrid>
      <w:tr w:rsidR="008D3AF5" w:rsidRPr="00377CFD" w14:paraId="26AF5CE6" w14:textId="77777777">
        <w:tc>
          <w:tcPr>
            <w:tcW w:w="900" w:type="dxa"/>
            <w:tcBorders>
              <w:top w:val="single" w:sz="4" w:space="0" w:color="C8922A"/>
              <w:left w:val="single" w:sz="4" w:space="0" w:color="C8922A"/>
              <w:bottom w:val="single" w:sz="4" w:space="0" w:color="C8922A"/>
              <w:right w:val="single" w:sz="4" w:space="0" w:color="C8922A"/>
            </w:tcBorders>
            <w:shd w:val="clear" w:color="auto" w:fill="C8922A"/>
            <w:tcMar>
              <w:top w:w="100" w:type="dxa"/>
              <w:left w:w="100" w:type="dxa"/>
              <w:bottom w:w="100" w:type="dxa"/>
              <w:right w:w="100" w:type="dxa"/>
            </w:tcMar>
            <w:vAlign w:val="center"/>
          </w:tcPr>
          <w:p w14:paraId="4F13EB83" w14:textId="77777777" w:rsidR="008D3AF5" w:rsidRPr="00377CFD" w:rsidRDefault="00000000" w:rsidP="00CD6708">
            <w:pPr>
              <w:spacing w:line="276" w:lineRule="auto"/>
              <w:jc w:val="center"/>
              <w:rPr>
                <w:rFonts w:asciiTheme="majorHAnsi" w:hAnsiTheme="majorHAnsi" w:cstheme="majorHAnsi"/>
                <w:sz w:val="20"/>
                <w:szCs w:val="20"/>
              </w:rPr>
            </w:pPr>
            <w:r w:rsidRPr="00377CFD">
              <w:rPr>
                <w:rFonts w:asciiTheme="majorHAnsi" w:hAnsiTheme="majorHAnsi" w:cstheme="majorHAnsi"/>
                <w:b/>
                <w:bCs/>
                <w:color w:val="FFFFFF"/>
                <w:sz w:val="20"/>
                <w:szCs w:val="20"/>
              </w:rPr>
              <w:t>3</w:t>
            </w:r>
          </w:p>
        </w:tc>
        <w:tc>
          <w:tcPr>
            <w:tcW w:w="8460" w:type="dxa"/>
            <w:tcBorders>
              <w:top w:val="single" w:sz="4" w:space="0" w:color="C8922A"/>
              <w:left w:val="single" w:sz="4" w:space="0" w:color="C8922A"/>
              <w:bottom w:val="single" w:sz="4" w:space="0" w:color="C8922A"/>
              <w:right w:val="single" w:sz="4" w:space="0" w:color="C8922A"/>
            </w:tcBorders>
            <w:shd w:val="clear" w:color="auto" w:fill="EAF2F8"/>
            <w:tcMar>
              <w:top w:w="100" w:type="dxa"/>
              <w:left w:w="160" w:type="dxa"/>
              <w:bottom w:w="100" w:type="dxa"/>
              <w:right w:w="160" w:type="dxa"/>
            </w:tcMar>
          </w:tcPr>
          <w:p w14:paraId="4A3EE5AB" w14:textId="77777777" w:rsidR="008D3AF5" w:rsidRPr="00377CFD" w:rsidRDefault="00000000" w:rsidP="004726E2">
            <w:pPr>
              <w:spacing w:after="80" w:line="276" w:lineRule="auto"/>
              <w:jc w:val="both"/>
              <w:rPr>
                <w:rFonts w:asciiTheme="majorHAnsi" w:hAnsiTheme="majorHAnsi" w:cstheme="majorHAnsi"/>
                <w:sz w:val="20"/>
                <w:szCs w:val="20"/>
              </w:rPr>
            </w:pPr>
            <w:r w:rsidRPr="00377CFD">
              <w:rPr>
                <w:rFonts w:asciiTheme="majorHAnsi" w:hAnsiTheme="majorHAnsi" w:cstheme="majorHAnsi"/>
                <w:b/>
                <w:bCs/>
                <w:color w:val="1B3A5C"/>
                <w:sz w:val="20"/>
                <w:szCs w:val="20"/>
              </w:rPr>
              <w:t>CAPACITACIÓN DE ACTORES DEL SISTEMA (Meses 5–10)</w:t>
            </w:r>
          </w:p>
          <w:p w14:paraId="69FDAC3B"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Objetivo: </w:t>
            </w:r>
            <w:r w:rsidRPr="00377CFD">
              <w:rPr>
                <w:rFonts w:asciiTheme="majorHAnsi" w:hAnsiTheme="majorHAnsi" w:cstheme="majorHAnsi"/>
                <w:color w:val="1A1A1A"/>
                <w:sz w:val="20"/>
                <w:szCs w:val="20"/>
              </w:rPr>
              <w:t>Asegurar que todos los actores del sistema (empleadores, trabajadores, fiscalizadores, AFP, IPS) conozcan y apliquen correctamente el nuevo sistema.</w:t>
            </w:r>
          </w:p>
          <w:p w14:paraId="43C54ED7"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Inspección del Trabajo: capacitar a todos los fiscalizadores regionales de las Regiones I, II, III y IV en los factores objetivos, instrumentos de medición aceptados y procedimiento de inscripción compulsoria. Duración: 16 horas.</w:t>
            </w:r>
          </w:p>
          <w:p w14:paraId="036E6E2B"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Empresa empleadoras: programa de difusión dirigido al área de RRHH, seguridad y prevención de riesgos de las 50 principales empresas operadoras y 200 principales empresas contratistas del sector. Canal: Asociación de Industriales Mineros (AIM), SONAMI y APRIMIN.</w:t>
            </w:r>
          </w:p>
          <w:p w14:paraId="3E8515DA"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Sindicatos: convenio con la CUT y federaciones sectoriales (FESUC, FESUMIN) para capacitar a dirigentes sindicales en el ejercicio del derecho de acción directa ante la DT para exigir inscripción omitida.</w:t>
            </w:r>
          </w:p>
          <w:p w14:paraId="12A428CF"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AFP e IPS: circular de la Superintendencia de Pensiones regulando el procedimiento de actualización automática de las libretas previsionales a partir de datos RENAPMA.</w:t>
            </w:r>
          </w:p>
          <w:p w14:paraId="3EBE5428"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6B35"/>
                <w:sz w:val="20"/>
                <w:szCs w:val="20"/>
              </w:rPr>
              <w:t xml:space="preserve">Hito: </w:t>
            </w:r>
            <w:r w:rsidRPr="00377CFD">
              <w:rPr>
                <w:rFonts w:asciiTheme="majorHAnsi" w:hAnsiTheme="majorHAnsi" w:cstheme="majorHAnsi"/>
                <w:color w:val="1A1A1A"/>
                <w:sz w:val="20"/>
                <w:szCs w:val="20"/>
              </w:rPr>
              <w:t>Al menos el 80% de los fiscalizadores DT zona norte certificados; manuales operativos publicados.</w:t>
            </w:r>
          </w:p>
        </w:tc>
      </w:tr>
    </w:tbl>
    <w:p w14:paraId="308B9948"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tbl>
      <w:tblPr>
        <w:tblStyle w:val="ac"/>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8460"/>
      </w:tblGrid>
      <w:tr w:rsidR="008D3AF5" w:rsidRPr="00377CFD" w14:paraId="7E2289FF" w14:textId="77777777">
        <w:tc>
          <w:tcPr>
            <w:tcW w:w="900" w:type="dxa"/>
            <w:tcBorders>
              <w:top w:val="single" w:sz="4" w:space="0" w:color="C8922A"/>
              <w:left w:val="single" w:sz="4" w:space="0" w:color="C8922A"/>
              <w:bottom w:val="single" w:sz="4" w:space="0" w:color="C8922A"/>
              <w:right w:val="single" w:sz="4" w:space="0" w:color="C8922A"/>
            </w:tcBorders>
            <w:shd w:val="clear" w:color="auto" w:fill="C8922A"/>
            <w:tcMar>
              <w:top w:w="100" w:type="dxa"/>
              <w:left w:w="100" w:type="dxa"/>
              <w:bottom w:w="100" w:type="dxa"/>
              <w:right w:w="100" w:type="dxa"/>
            </w:tcMar>
            <w:vAlign w:val="center"/>
          </w:tcPr>
          <w:p w14:paraId="76841BB2" w14:textId="77777777" w:rsidR="008D3AF5" w:rsidRPr="00377CFD" w:rsidRDefault="00000000" w:rsidP="00CD6708">
            <w:pPr>
              <w:spacing w:line="276" w:lineRule="auto"/>
              <w:jc w:val="center"/>
              <w:rPr>
                <w:rFonts w:asciiTheme="majorHAnsi" w:hAnsiTheme="majorHAnsi" w:cstheme="majorHAnsi"/>
                <w:sz w:val="20"/>
                <w:szCs w:val="20"/>
              </w:rPr>
            </w:pPr>
            <w:r w:rsidRPr="00377CFD">
              <w:rPr>
                <w:rFonts w:asciiTheme="majorHAnsi" w:hAnsiTheme="majorHAnsi" w:cstheme="majorHAnsi"/>
                <w:b/>
                <w:bCs/>
                <w:color w:val="FFFFFF"/>
                <w:sz w:val="20"/>
                <w:szCs w:val="20"/>
              </w:rPr>
              <w:t>4</w:t>
            </w:r>
          </w:p>
        </w:tc>
        <w:tc>
          <w:tcPr>
            <w:tcW w:w="8460" w:type="dxa"/>
            <w:tcBorders>
              <w:top w:val="single" w:sz="4" w:space="0" w:color="C8922A"/>
              <w:left w:val="single" w:sz="4" w:space="0" w:color="C8922A"/>
              <w:bottom w:val="single" w:sz="4" w:space="0" w:color="C8922A"/>
              <w:right w:val="single" w:sz="4" w:space="0" w:color="C8922A"/>
            </w:tcBorders>
            <w:shd w:val="clear" w:color="auto" w:fill="EAF2F8"/>
            <w:tcMar>
              <w:top w:w="100" w:type="dxa"/>
              <w:left w:w="160" w:type="dxa"/>
              <w:bottom w:w="100" w:type="dxa"/>
              <w:right w:w="160" w:type="dxa"/>
            </w:tcMar>
          </w:tcPr>
          <w:p w14:paraId="452772E0" w14:textId="77777777" w:rsidR="008D3AF5" w:rsidRPr="00377CFD" w:rsidRDefault="00000000" w:rsidP="004726E2">
            <w:pPr>
              <w:spacing w:after="80" w:line="276" w:lineRule="auto"/>
              <w:jc w:val="both"/>
              <w:rPr>
                <w:rFonts w:asciiTheme="majorHAnsi" w:hAnsiTheme="majorHAnsi" w:cstheme="majorHAnsi"/>
                <w:sz w:val="20"/>
                <w:szCs w:val="20"/>
              </w:rPr>
            </w:pPr>
            <w:r w:rsidRPr="00377CFD">
              <w:rPr>
                <w:rFonts w:asciiTheme="majorHAnsi" w:hAnsiTheme="majorHAnsi" w:cstheme="majorHAnsi"/>
                <w:b/>
                <w:bCs/>
                <w:color w:val="1B3A5C"/>
                <w:sz w:val="20"/>
                <w:szCs w:val="20"/>
              </w:rPr>
              <w:t>PROCESO DE INSCRIPCIÓN MASIVA INICIAL (Meses 9–15)</w:t>
            </w:r>
          </w:p>
          <w:p w14:paraId="156ED4EB"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Objetivo: </w:t>
            </w:r>
            <w:r w:rsidRPr="00377CFD">
              <w:rPr>
                <w:rFonts w:asciiTheme="majorHAnsi" w:hAnsiTheme="majorHAnsi" w:cstheme="majorHAnsi"/>
                <w:color w:val="1A1A1A"/>
                <w:sz w:val="20"/>
                <w:szCs w:val="20"/>
              </w:rPr>
              <w:t>Lograr que todos los puestos mineros que concurren en factores objetivos queden inscritos en el RENAPMA dentro del plazo legal de 90 días.</w:t>
            </w:r>
          </w:p>
          <w:p w14:paraId="57EAF12B"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Campaña de inscripción activa: la Dirección del Trabajo notificará a las 500 mayores empleadoras del sector minero (por número de trabajadores) su obligación de inscripción, con plazo y apercibimiento de multa.</w:t>
            </w:r>
          </w:p>
          <w:p w14:paraId="6B32E87E"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La Superintendencia de Pensiones cruzará la base de RENAPMA emergente con el registro de concesiones de SERNAGEOMIN (para factor altitud) y el registro de resoluciones de jornada excepcional de la DT (para factores B y G), identificando de oficio los puestos que debieran estar inscritos.</w:t>
            </w:r>
          </w:p>
          <w:p w14:paraId="1B0E1CDE"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Para los puestos preexistentes con dictamen CEN vigente: migración automática al RENAPMA sin necesidad de nueva inscripción. La CEN remitirá el listado de dictámenes vigentes a la Superintendencia en el plazo de 30 días desde la promulgación.</w:t>
            </w:r>
          </w:p>
          <w:p w14:paraId="07762421"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Fiscalización intensiva durante el período de inscripción: operativos conjuntos DT-Superintendencia de Pensiones en las principales faenas del norte.</w:t>
            </w:r>
          </w:p>
          <w:p w14:paraId="5A54B14C"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6B35"/>
                <w:sz w:val="20"/>
                <w:szCs w:val="20"/>
              </w:rPr>
              <w:t xml:space="preserve">Hito: </w:t>
            </w:r>
            <w:r w:rsidRPr="00377CFD">
              <w:rPr>
                <w:rFonts w:asciiTheme="majorHAnsi" w:hAnsiTheme="majorHAnsi" w:cstheme="majorHAnsi"/>
                <w:color w:val="1A1A1A"/>
                <w:sz w:val="20"/>
                <w:szCs w:val="20"/>
              </w:rPr>
              <w:t>90% de los puestos estimados inscriptos al mes 15.</w:t>
            </w:r>
          </w:p>
        </w:tc>
      </w:tr>
    </w:tbl>
    <w:p w14:paraId="0E14F03A" w14:textId="2569A5DA" w:rsidR="00CD6708" w:rsidRDefault="00000000" w:rsidP="004726E2">
      <w:pPr>
        <w:spacing w:after="100"/>
        <w:jc w:val="both"/>
        <w:rPr>
          <w:rFonts w:asciiTheme="majorHAnsi" w:hAnsiTheme="majorHAnsi" w:cstheme="majorHAnsi"/>
          <w:color w:val="1A1A1A"/>
          <w:sz w:val="20"/>
          <w:szCs w:val="20"/>
        </w:rPr>
      </w:pPr>
      <w:r w:rsidRPr="00377CFD">
        <w:rPr>
          <w:rFonts w:asciiTheme="majorHAnsi" w:hAnsiTheme="majorHAnsi" w:cstheme="majorHAnsi"/>
          <w:color w:val="1A1A1A"/>
          <w:sz w:val="20"/>
          <w:szCs w:val="20"/>
        </w:rPr>
        <w:t xml:space="preserve"> </w:t>
      </w:r>
    </w:p>
    <w:p w14:paraId="610C5357" w14:textId="77777777" w:rsidR="00CD6708" w:rsidRDefault="00CD6708">
      <w:pPr>
        <w:rPr>
          <w:rFonts w:asciiTheme="majorHAnsi" w:hAnsiTheme="majorHAnsi" w:cstheme="majorHAnsi"/>
          <w:color w:val="1A1A1A"/>
          <w:sz w:val="20"/>
          <w:szCs w:val="20"/>
        </w:rPr>
      </w:pPr>
      <w:r>
        <w:rPr>
          <w:rFonts w:asciiTheme="majorHAnsi" w:hAnsiTheme="majorHAnsi" w:cstheme="majorHAnsi"/>
          <w:color w:val="1A1A1A"/>
          <w:sz w:val="20"/>
          <w:szCs w:val="20"/>
        </w:rPr>
        <w:br w:type="page"/>
      </w:r>
    </w:p>
    <w:p w14:paraId="2E91AB69" w14:textId="77777777" w:rsidR="008D3AF5" w:rsidRPr="00377CFD" w:rsidRDefault="008D3AF5" w:rsidP="004726E2">
      <w:pPr>
        <w:spacing w:after="100"/>
        <w:jc w:val="both"/>
        <w:rPr>
          <w:rFonts w:asciiTheme="majorHAnsi" w:hAnsiTheme="majorHAnsi" w:cstheme="majorHAnsi"/>
          <w:sz w:val="20"/>
          <w:szCs w:val="20"/>
        </w:rPr>
      </w:pPr>
    </w:p>
    <w:tbl>
      <w:tblPr>
        <w:tblStyle w:val="ad"/>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8460"/>
      </w:tblGrid>
      <w:tr w:rsidR="008D3AF5" w:rsidRPr="00377CFD" w14:paraId="604D26F7" w14:textId="77777777">
        <w:tc>
          <w:tcPr>
            <w:tcW w:w="900" w:type="dxa"/>
            <w:tcBorders>
              <w:top w:val="single" w:sz="4" w:space="0" w:color="C8922A"/>
              <w:left w:val="single" w:sz="4" w:space="0" w:color="C8922A"/>
              <w:bottom w:val="single" w:sz="4" w:space="0" w:color="C8922A"/>
              <w:right w:val="single" w:sz="4" w:space="0" w:color="C8922A"/>
            </w:tcBorders>
            <w:shd w:val="clear" w:color="auto" w:fill="C8922A"/>
            <w:tcMar>
              <w:top w:w="100" w:type="dxa"/>
              <w:left w:w="100" w:type="dxa"/>
              <w:bottom w:w="100" w:type="dxa"/>
              <w:right w:w="100" w:type="dxa"/>
            </w:tcMar>
            <w:vAlign w:val="center"/>
          </w:tcPr>
          <w:p w14:paraId="5450ACD2" w14:textId="77777777" w:rsidR="008D3AF5" w:rsidRPr="00377CFD" w:rsidRDefault="00000000" w:rsidP="00CD6708">
            <w:pPr>
              <w:spacing w:line="276" w:lineRule="auto"/>
              <w:jc w:val="center"/>
              <w:rPr>
                <w:rFonts w:asciiTheme="majorHAnsi" w:hAnsiTheme="majorHAnsi" w:cstheme="majorHAnsi"/>
                <w:sz w:val="20"/>
                <w:szCs w:val="20"/>
              </w:rPr>
            </w:pPr>
            <w:r w:rsidRPr="00377CFD">
              <w:rPr>
                <w:rFonts w:asciiTheme="majorHAnsi" w:hAnsiTheme="majorHAnsi" w:cstheme="majorHAnsi"/>
                <w:b/>
                <w:bCs/>
                <w:color w:val="FFFFFF"/>
                <w:sz w:val="20"/>
                <w:szCs w:val="20"/>
              </w:rPr>
              <w:t>5</w:t>
            </w:r>
          </w:p>
        </w:tc>
        <w:tc>
          <w:tcPr>
            <w:tcW w:w="8460" w:type="dxa"/>
            <w:tcBorders>
              <w:top w:val="single" w:sz="4" w:space="0" w:color="C8922A"/>
              <w:left w:val="single" w:sz="4" w:space="0" w:color="C8922A"/>
              <w:bottom w:val="single" w:sz="4" w:space="0" w:color="C8922A"/>
              <w:right w:val="single" w:sz="4" w:space="0" w:color="C8922A"/>
            </w:tcBorders>
            <w:shd w:val="clear" w:color="auto" w:fill="EAF2F8"/>
            <w:tcMar>
              <w:top w:w="100" w:type="dxa"/>
              <w:left w:w="160" w:type="dxa"/>
              <w:bottom w:w="100" w:type="dxa"/>
              <w:right w:w="160" w:type="dxa"/>
            </w:tcMar>
          </w:tcPr>
          <w:p w14:paraId="3602E6A1" w14:textId="77777777" w:rsidR="008D3AF5" w:rsidRPr="00377CFD" w:rsidRDefault="00000000" w:rsidP="004726E2">
            <w:pPr>
              <w:spacing w:after="80" w:line="276" w:lineRule="auto"/>
              <w:jc w:val="both"/>
              <w:rPr>
                <w:rFonts w:asciiTheme="majorHAnsi" w:hAnsiTheme="majorHAnsi" w:cstheme="majorHAnsi"/>
                <w:sz w:val="20"/>
                <w:szCs w:val="20"/>
              </w:rPr>
            </w:pPr>
            <w:r w:rsidRPr="00377CFD">
              <w:rPr>
                <w:rFonts w:asciiTheme="majorHAnsi" w:hAnsiTheme="majorHAnsi" w:cstheme="majorHAnsi"/>
                <w:b/>
                <w:bCs/>
                <w:color w:val="1B3A5C"/>
                <w:sz w:val="20"/>
                <w:szCs w:val="20"/>
              </w:rPr>
              <w:t>ACTUALIZACIÓN DE PROCESOS INTERNOS DE LA CEN (Meses 6–12)</w:t>
            </w:r>
          </w:p>
          <w:p w14:paraId="28568F5F"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Objetivo: </w:t>
            </w:r>
            <w:r w:rsidRPr="00377CFD">
              <w:rPr>
                <w:rFonts w:asciiTheme="majorHAnsi" w:hAnsiTheme="majorHAnsi" w:cstheme="majorHAnsi"/>
                <w:color w:val="1A1A1A"/>
                <w:sz w:val="20"/>
                <w:szCs w:val="20"/>
              </w:rPr>
              <w:t>Redefinir el rol de la CEN para concentrarse en calificación residual, impugnaciones RENAPMA y actualización de protocolos.</w:t>
            </w:r>
          </w:p>
          <w:p w14:paraId="1BC70409"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Instrucción de la Superintendencia de Pensiones a la CEN para redirigir el backlog de solicitudes mineras hacia el mecanismo RENAPMA cuando concurran factores objetivos, emitiendo una certificación de equivalencia en lugar de dictamen completo.</w:t>
            </w:r>
          </w:p>
          <w:p w14:paraId="3CF27C8D"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Creación de un subcomité técnico de la CEN para actualización periódica (cada 3 años) de los protocolos de medición de los 7 factores objetivos, incorporando expertos del MINSAL, SERNAGEOMIN y universidades.</w:t>
            </w:r>
          </w:p>
          <w:p w14:paraId="3DA0F84D"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Refuerzo de capacidad de la CEN para la calificación de puestos no mineros y para la resolución expedita de impugnaciones RENAPMA (plazo máximo: 45 días hábiles conforme al nuevo Art. 31 quinquies).</w:t>
            </w:r>
          </w:p>
          <w:p w14:paraId="63627BF6"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Creación del cargo de Coordinador Sectorial Minería en la Secretaría de la CEN, con dedicación exclusiva al monitoreo del RENAPMA y la tramitación de impugnaciones.</w:t>
            </w:r>
          </w:p>
          <w:p w14:paraId="543A6BFA"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6B35"/>
                <w:sz w:val="20"/>
                <w:szCs w:val="20"/>
              </w:rPr>
              <w:t xml:space="preserve">Hito: </w:t>
            </w:r>
            <w:r w:rsidRPr="00377CFD">
              <w:rPr>
                <w:rFonts w:asciiTheme="majorHAnsi" w:hAnsiTheme="majorHAnsi" w:cstheme="majorHAnsi"/>
                <w:color w:val="1A1A1A"/>
                <w:sz w:val="20"/>
                <w:szCs w:val="20"/>
              </w:rPr>
              <w:t>CEN opera con flujo reorganizado; carga de trabajo minero reducida en al menos 60%.</w:t>
            </w:r>
          </w:p>
        </w:tc>
      </w:tr>
    </w:tbl>
    <w:p w14:paraId="0ADCC712"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tbl>
      <w:tblPr>
        <w:tblStyle w:val="ae"/>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8460"/>
      </w:tblGrid>
      <w:tr w:rsidR="008D3AF5" w:rsidRPr="00377CFD" w14:paraId="626E4FE7" w14:textId="77777777">
        <w:tc>
          <w:tcPr>
            <w:tcW w:w="900" w:type="dxa"/>
            <w:tcBorders>
              <w:top w:val="single" w:sz="4" w:space="0" w:color="C8922A"/>
              <w:left w:val="single" w:sz="4" w:space="0" w:color="C8922A"/>
              <w:bottom w:val="single" w:sz="4" w:space="0" w:color="C8922A"/>
              <w:right w:val="single" w:sz="4" w:space="0" w:color="C8922A"/>
            </w:tcBorders>
            <w:shd w:val="clear" w:color="auto" w:fill="C8922A"/>
            <w:tcMar>
              <w:top w:w="100" w:type="dxa"/>
              <w:left w:w="100" w:type="dxa"/>
              <w:bottom w:w="100" w:type="dxa"/>
              <w:right w:w="100" w:type="dxa"/>
            </w:tcMar>
            <w:vAlign w:val="center"/>
          </w:tcPr>
          <w:p w14:paraId="52CDC23F" w14:textId="77777777" w:rsidR="008D3AF5" w:rsidRPr="00377CFD" w:rsidRDefault="00000000" w:rsidP="00CD6708">
            <w:pPr>
              <w:spacing w:line="276" w:lineRule="auto"/>
              <w:jc w:val="center"/>
              <w:rPr>
                <w:rFonts w:asciiTheme="majorHAnsi" w:hAnsiTheme="majorHAnsi" w:cstheme="majorHAnsi"/>
                <w:sz w:val="20"/>
                <w:szCs w:val="20"/>
              </w:rPr>
            </w:pPr>
            <w:r w:rsidRPr="00377CFD">
              <w:rPr>
                <w:rFonts w:asciiTheme="majorHAnsi" w:hAnsiTheme="majorHAnsi" w:cstheme="majorHAnsi"/>
                <w:b/>
                <w:bCs/>
                <w:color w:val="FFFFFF"/>
                <w:sz w:val="20"/>
                <w:szCs w:val="20"/>
              </w:rPr>
              <w:t>6</w:t>
            </w:r>
          </w:p>
        </w:tc>
        <w:tc>
          <w:tcPr>
            <w:tcW w:w="8460" w:type="dxa"/>
            <w:tcBorders>
              <w:top w:val="single" w:sz="4" w:space="0" w:color="C8922A"/>
              <w:left w:val="single" w:sz="4" w:space="0" w:color="C8922A"/>
              <w:bottom w:val="single" w:sz="4" w:space="0" w:color="C8922A"/>
              <w:right w:val="single" w:sz="4" w:space="0" w:color="C8922A"/>
            </w:tcBorders>
            <w:shd w:val="clear" w:color="auto" w:fill="EAF2F8"/>
            <w:tcMar>
              <w:top w:w="100" w:type="dxa"/>
              <w:left w:w="160" w:type="dxa"/>
              <w:bottom w:w="100" w:type="dxa"/>
              <w:right w:w="160" w:type="dxa"/>
            </w:tcMar>
          </w:tcPr>
          <w:p w14:paraId="3AA1DA61" w14:textId="77777777" w:rsidR="008D3AF5" w:rsidRPr="00377CFD" w:rsidRDefault="00000000" w:rsidP="004726E2">
            <w:pPr>
              <w:spacing w:after="80" w:line="276" w:lineRule="auto"/>
              <w:jc w:val="both"/>
              <w:rPr>
                <w:rFonts w:asciiTheme="majorHAnsi" w:hAnsiTheme="majorHAnsi" w:cstheme="majorHAnsi"/>
                <w:sz w:val="20"/>
                <w:szCs w:val="20"/>
              </w:rPr>
            </w:pPr>
            <w:r w:rsidRPr="00377CFD">
              <w:rPr>
                <w:rFonts w:asciiTheme="majorHAnsi" w:hAnsiTheme="majorHAnsi" w:cstheme="majorHAnsi"/>
                <w:b/>
                <w:bCs/>
                <w:color w:val="1B3A5C"/>
                <w:sz w:val="20"/>
                <w:szCs w:val="20"/>
              </w:rPr>
              <w:t>INTEGRACIÓN PREVISIONAL Y ACTUALIZACIÓN DE LIBRETAS (Meses 10–18)</w:t>
            </w:r>
          </w:p>
          <w:p w14:paraId="6E439FDD"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Objetivo: </w:t>
            </w:r>
            <w:r w:rsidRPr="00377CFD">
              <w:rPr>
                <w:rFonts w:asciiTheme="majorHAnsi" w:hAnsiTheme="majorHAnsi" w:cstheme="majorHAnsi"/>
                <w:color w:val="1A1A1A"/>
                <w:sz w:val="20"/>
                <w:szCs w:val="20"/>
              </w:rPr>
              <w:t>Asegurar que los beneficios previsionales (cotizaciones retroactivas y cómputo de edad de pensión) se materialicen en los registros individuales.</w:t>
            </w:r>
          </w:p>
          <w:p w14:paraId="3358DF51"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AFP y el IPS deberán reflejar los períodos de trabajo pesado automático —incluyendo los retroactivos acreditados— en las cartolas y libretas previsionales dentro de los 30 días de la inscripción o de la resolución de retroactividad.</w:t>
            </w:r>
          </w:p>
          <w:p w14:paraId="737BEDFB"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La Superintendencia de Pensiones emitirá circular instruyendo el procedimiento de cobro de cotizaciones retroactivas con intereses y reajustes, y la forma de acreditarlas en las cuentas de capitalización individual.</w:t>
            </w:r>
          </w:p>
          <w:p w14:paraId="7465A1ED"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Para el IPS (trabajadores del sistema antiguo), coordinación con el Instituto de Previsión Social para el reconocimiento de períodos retroactivos en el cómputo de la regla especial 2×5 del Art. 2° de la Ley N° 19.404.</w:t>
            </w:r>
          </w:p>
          <w:p w14:paraId="7A020917"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Emisión de certificados individuales de trabajo pesado automático por parte de la Superintendencia, disponibles en la plataforma digital del RENAPMA, que el trabajador podrá invocar al solicitar su pensión.</w:t>
            </w:r>
          </w:p>
          <w:p w14:paraId="3B23AB45"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6B35"/>
                <w:sz w:val="20"/>
                <w:szCs w:val="20"/>
              </w:rPr>
              <w:t xml:space="preserve">Hito: </w:t>
            </w:r>
            <w:r w:rsidRPr="00377CFD">
              <w:rPr>
                <w:rFonts w:asciiTheme="majorHAnsi" w:hAnsiTheme="majorHAnsi" w:cstheme="majorHAnsi"/>
                <w:color w:val="1A1A1A"/>
                <w:sz w:val="20"/>
                <w:szCs w:val="20"/>
              </w:rPr>
              <w:t>100% de libretas previsionales actualizadas para trabajadores activos inscritos en RENAPMA.</w:t>
            </w:r>
          </w:p>
        </w:tc>
      </w:tr>
    </w:tbl>
    <w:p w14:paraId="3CFC48F4" w14:textId="360883E5" w:rsidR="00CD6708" w:rsidRDefault="00000000" w:rsidP="004726E2">
      <w:pPr>
        <w:spacing w:after="100"/>
        <w:jc w:val="both"/>
        <w:rPr>
          <w:rFonts w:asciiTheme="majorHAnsi" w:hAnsiTheme="majorHAnsi" w:cstheme="majorHAnsi"/>
          <w:color w:val="1A1A1A"/>
          <w:sz w:val="20"/>
          <w:szCs w:val="20"/>
        </w:rPr>
      </w:pPr>
      <w:r w:rsidRPr="00377CFD">
        <w:rPr>
          <w:rFonts w:asciiTheme="majorHAnsi" w:hAnsiTheme="majorHAnsi" w:cstheme="majorHAnsi"/>
          <w:color w:val="1A1A1A"/>
          <w:sz w:val="20"/>
          <w:szCs w:val="20"/>
        </w:rPr>
        <w:t xml:space="preserve"> </w:t>
      </w:r>
    </w:p>
    <w:p w14:paraId="7FB8C732" w14:textId="77777777" w:rsidR="00CD6708" w:rsidRDefault="00CD6708">
      <w:pPr>
        <w:rPr>
          <w:rFonts w:asciiTheme="majorHAnsi" w:hAnsiTheme="majorHAnsi" w:cstheme="majorHAnsi"/>
          <w:color w:val="1A1A1A"/>
          <w:sz w:val="20"/>
          <w:szCs w:val="20"/>
        </w:rPr>
      </w:pPr>
      <w:r>
        <w:rPr>
          <w:rFonts w:asciiTheme="majorHAnsi" w:hAnsiTheme="majorHAnsi" w:cstheme="majorHAnsi"/>
          <w:color w:val="1A1A1A"/>
          <w:sz w:val="20"/>
          <w:szCs w:val="20"/>
        </w:rPr>
        <w:br w:type="page"/>
      </w:r>
    </w:p>
    <w:p w14:paraId="081F5B91" w14:textId="77777777" w:rsidR="008D3AF5" w:rsidRPr="00377CFD" w:rsidRDefault="008D3AF5" w:rsidP="004726E2">
      <w:pPr>
        <w:spacing w:after="100"/>
        <w:jc w:val="both"/>
        <w:rPr>
          <w:rFonts w:asciiTheme="majorHAnsi" w:hAnsiTheme="majorHAnsi" w:cstheme="majorHAnsi"/>
          <w:sz w:val="20"/>
          <w:szCs w:val="20"/>
        </w:rPr>
      </w:pPr>
    </w:p>
    <w:tbl>
      <w:tblPr>
        <w:tblStyle w:val="af"/>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8460"/>
      </w:tblGrid>
      <w:tr w:rsidR="008D3AF5" w:rsidRPr="00377CFD" w14:paraId="3B7B48FE" w14:textId="77777777">
        <w:tc>
          <w:tcPr>
            <w:tcW w:w="900" w:type="dxa"/>
            <w:tcBorders>
              <w:top w:val="single" w:sz="4" w:space="0" w:color="C8922A"/>
              <w:left w:val="single" w:sz="4" w:space="0" w:color="C8922A"/>
              <w:bottom w:val="single" w:sz="4" w:space="0" w:color="C8922A"/>
              <w:right w:val="single" w:sz="4" w:space="0" w:color="C8922A"/>
            </w:tcBorders>
            <w:shd w:val="clear" w:color="auto" w:fill="C8922A"/>
            <w:tcMar>
              <w:top w:w="100" w:type="dxa"/>
              <w:left w:w="100" w:type="dxa"/>
              <w:bottom w:w="100" w:type="dxa"/>
              <w:right w:w="100" w:type="dxa"/>
            </w:tcMar>
            <w:vAlign w:val="center"/>
          </w:tcPr>
          <w:p w14:paraId="35879208" w14:textId="77777777" w:rsidR="008D3AF5" w:rsidRPr="00377CFD" w:rsidRDefault="00000000" w:rsidP="00CD6708">
            <w:pPr>
              <w:spacing w:line="276" w:lineRule="auto"/>
              <w:jc w:val="center"/>
              <w:rPr>
                <w:rFonts w:asciiTheme="majorHAnsi" w:hAnsiTheme="majorHAnsi" w:cstheme="majorHAnsi"/>
                <w:sz w:val="20"/>
                <w:szCs w:val="20"/>
              </w:rPr>
            </w:pPr>
            <w:r w:rsidRPr="00377CFD">
              <w:rPr>
                <w:rFonts w:asciiTheme="majorHAnsi" w:hAnsiTheme="majorHAnsi" w:cstheme="majorHAnsi"/>
                <w:b/>
                <w:bCs/>
                <w:color w:val="FFFFFF"/>
                <w:sz w:val="20"/>
                <w:szCs w:val="20"/>
              </w:rPr>
              <w:t>7</w:t>
            </w:r>
          </w:p>
        </w:tc>
        <w:tc>
          <w:tcPr>
            <w:tcW w:w="8460" w:type="dxa"/>
            <w:tcBorders>
              <w:top w:val="single" w:sz="4" w:space="0" w:color="C8922A"/>
              <w:left w:val="single" w:sz="4" w:space="0" w:color="C8922A"/>
              <w:bottom w:val="single" w:sz="4" w:space="0" w:color="C8922A"/>
              <w:right w:val="single" w:sz="4" w:space="0" w:color="C8922A"/>
            </w:tcBorders>
            <w:shd w:val="clear" w:color="auto" w:fill="EAF2F8"/>
            <w:tcMar>
              <w:top w:w="100" w:type="dxa"/>
              <w:left w:w="160" w:type="dxa"/>
              <w:bottom w:w="100" w:type="dxa"/>
              <w:right w:w="160" w:type="dxa"/>
            </w:tcMar>
          </w:tcPr>
          <w:p w14:paraId="2CFA0B22" w14:textId="77777777" w:rsidR="008D3AF5" w:rsidRPr="00377CFD" w:rsidRDefault="00000000" w:rsidP="004726E2">
            <w:pPr>
              <w:spacing w:after="80" w:line="276" w:lineRule="auto"/>
              <w:jc w:val="both"/>
              <w:rPr>
                <w:rFonts w:asciiTheme="majorHAnsi" w:hAnsiTheme="majorHAnsi" w:cstheme="majorHAnsi"/>
                <w:sz w:val="20"/>
                <w:szCs w:val="20"/>
              </w:rPr>
            </w:pPr>
            <w:r w:rsidRPr="00377CFD">
              <w:rPr>
                <w:rFonts w:asciiTheme="majorHAnsi" w:hAnsiTheme="majorHAnsi" w:cstheme="majorHAnsi"/>
                <w:b/>
                <w:bCs/>
                <w:color w:val="1B3A5C"/>
                <w:sz w:val="20"/>
                <w:szCs w:val="20"/>
              </w:rPr>
              <w:t>SISTEMA DE AUDITORÍA, CONTROL Y EVALUACIÓN CONTINUA (Mes 18 en adelante)</w:t>
            </w:r>
          </w:p>
          <w:p w14:paraId="0F89E31B"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Objetivo: </w:t>
            </w:r>
            <w:r w:rsidRPr="00377CFD">
              <w:rPr>
                <w:rFonts w:asciiTheme="majorHAnsi" w:hAnsiTheme="majorHAnsi" w:cstheme="majorHAnsi"/>
                <w:color w:val="1A1A1A"/>
                <w:sz w:val="20"/>
                <w:szCs w:val="20"/>
              </w:rPr>
              <w:t>Garantizar la integridad del RENAPMA y la actualización permanente de sus estándares técnicos.</w:t>
            </w:r>
          </w:p>
          <w:p w14:paraId="37DA4EC9"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Auditorías aleatorias anuales (15% de puestos inscritos): equipos mixtos Superintendencia de Pensiones + OAL (ACHS, IST, Mutual) verifican in situ la concurrencia de los factores declarados.</w:t>
            </w:r>
          </w:p>
          <w:p w14:paraId="4D0D55E7"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Auditorías dirigidas (riesgo alto): faenas con alta rotación de personal, nuevas inscripciones de contratistas y puestos impugnados en los últimos 24 meses.</w:t>
            </w:r>
          </w:p>
          <w:p w14:paraId="13A55371"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Informe anual público: la Superintendencia publicará estadísticas del RENAPMA desagregadas por región, empresa, factor objetivo y número de trabajadores cubiertos.</w:t>
            </w:r>
          </w:p>
          <w:p w14:paraId="487EC555" w14:textId="77777777" w:rsidR="008D3AF5" w:rsidRPr="00377CFD" w:rsidRDefault="00000000" w:rsidP="004726E2">
            <w:pPr>
              <w:numPr>
                <w:ilvl w:val="0"/>
                <w:numId w:val="1"/>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Revisión quinquenal de la ley: la disposición transitoria de la ley modificatoria mandatará al MINTRAB elaborar un informe de evaluación de impacto a los 5 años, con recomendaciones de ajuste de los umbrales de los factores objetivos conforme a nueva evidencia científica.</w:t>
            </w:r>
          </w:p>
          <w:p w14:paraId="426518F5"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6B35"/>
                <w:sz w:val="20"/>
                <w:szCs w:val="20"/>
              </w:rPr>
              <w:t xml:space="preserve">Hito permanente: </w:t>
            </w:r>
            <w:r w:rsidRPr="00377CFD">
              <w:rPr>
                <w:rFonts w:asciiTheme="majorHAnsi" w:hAnsiTheme="majorHAnsi" w:cstheme="majorHAnsi"/>
                <w:color w:val="1A1A1A"/>
                <w:sz w:val="20"/>
                <w:szCs w:val="20"/>
              </w:rPr>
              <w:t>&lt; 5% de tasa de inscripciones con irregularidades detectadas en auditoría; informe anual publicado antes del 31 de marzo de cada año.</w:t>
            </w:r>
          </w:p>
        </w:tc>
      </w:tr>
    </w:tbl>
    <w:p w14:paraId="03AC17E3"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sz w:val="20"/>
          <w:szCs w:val="20"/>
        </w:rPr>
        <w:br w:type="page"/>
      </w:r>
    </w:p>
    <w:p w14:paraId="7C1D0A3F" w14:textId="77777777" w:rsidR="008D3AF5" w:rsidRPr="00377CFD" w:rsidRDefault="00000000" w:rsidP="004726E2">
      <w:pPr>
        <w:pStyle w:val="Ttulo1"/>
        <w:pBdr>
          <w:bottom w:val="single" w:sz="10" w:space="0" w:color="C8922A"/>
        </w:pBdr>
        <w:jc w:val="both"/>
        <w:rPr>
          <w:rFonts w:asciiTheme="majorHAnsi" w:hAnsiTheme="majorHAnsi" w:cstheme="majorHAnsi"/>
          <w:sz w:val="20"/>
          <w:szCs w:val="20"/>
        </w:rPr>
      </w:pPr>
      <w:bookmarkStart w:id="14" w:name="_Toc228400942"/>
      <w:r w:rsidRPr="00377CFD">
        <w:rPr>
          <w:rFonts w:asciiTheme="majorHAnsi" w:hAnsiTheme="majorHAnsi" w:cstheme="majorHAnsi"/>
          <w:sz w:val="20"/>
          <w:szCs w:val="20"/>
        </w:rPr>
        <w:lastRenderedPageBreak/>
        <w:t>V. INFORME TÉCNICO-ESTADÍSTICO</w:t>
      </w:r>
      <w:bookmarkEnd w:id="14"/>
    </w:p>
    <w:p w14:paraId="011F083B" w14:textId="77777777" w:rsidR="008D3AF5" w:rsidRPr="00377CFD" w:rsidRDefault="00000000" w:rsidP="004726E2">
      <w:pPr>
        <w:pStyle w:val="Ttulo2"/>
        <w:jc w:val="both"/>
        <w:rPr>
          <w:rFonts w:asciiTheme="majorHAnsi" w:hAnsiTheme="majorHAnsi" w:cstheme="majorHAnsi"/>
          <w:sz w:val="20"/>
          <w:szCs w:val="20"/>
        </w:rPr>
      </w:pPr>
      <w:bookmarkStart w:id="15" w:name="_Toc228400943"/>
      <w:r w:rsidRPr="00377CFD">
        <w:rPr>
          <w:rFonts w:asciiTheme="majorHAnsi" w:hAnsiTheme="majorHAnsi" w:cstheme="majorHAnsi"/>
          <w:sz w:val="20"/>
          <w:szCs w:val="20"/>
        </w:rPr>
        <w:t>5.1 Prevalencia y Brecha de Cobertura</w:t>
      </w:r>
      <w:bookmarkEnd w:id="15"/>
    </w:p>
    <w:p w14:paraId="1E8B5DEF"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El diagnóstico cuantitativo de la brecha entre trabajadores con condiciones de trabajo pesado y trabajadores efectivamente calificados revela la magnitud del problema que la reforma busca resolver:</w:t>
      </w:r>
    </w:p>
    <w:p w14:paraId="639F4A87"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70FB04EE" w14:textId="77777777" w:rsidR="008D3AF5" w:rsidRPr="00377CFD" w:rsidRDefault="00000000" w:rsidP="004726E2">
      <w:pPr>
        <w:pStyle w:val="Ttulo3"/>
        <w:jc w:val="both"/>
        <w:rPr>
          <w:rFonts w:asciiTheme="majorHAnsi" w:hAnsiTheme="majorHAnsi" w:cstheme="majorHAnsi"/>
          <w:sz w:val="20"/>
          <w:szCs w:val="20"/>
        </w:rPr>
      </w:pPr>
      <w:bookmarkStart w:id="16" w:name="_Toc228400944"/>
      <w:r w:rsidRPr="00377CFD">
        <w:rPr>
          <w:rFonts w:asciiTheme="majorHAnsi" w:hAnsiTheme="majorHAnsi" w:cstheme="majorHAnsi"/>
          <w:sz w:val="20"/>
          <w:szCs w:val="20"/>
        </w:rPr>
        <w:t>Universo laboral minero y cobertura actual estimada</w:t>
      </w:r>
      <w:bookmarkEnd w:id="16"/>
    </w:p>
    <w:tbl>
      <w:tblPr>
        <w:tblStyle w:val="af0"/>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0"/>
        <w:gridCol w:w="2900"/>
        <w:gridCol w:w="2393"/>
      </w:tblGrid>
      <w:tr w:rsidR="008D3AF5" w:rsidRPr="00377CFD" w14:paraId="7040B0FE" w14:textId="77777777" w:rsidTr="0059636C">
        <w:tc>
          <w:tcPr>
            <w:tcW w:w="4200" w:type="dxa"/>
            <w:shd w:val="clear" w:color="auto" w:fill="1B3A5C"/>
            <w:tcMar>
              <w:top w:w="80" w:type="dxa"/>
              <w:left w:w="120" w:type="dxa"/>
              <w:bottom w:w="80" w:type="dxa"/>
              <w:right w:w="120" w:type="dxa"/>
            </w:tcMar>
            <w:vAlign w:val="center"/>
          </w:tcPr>
          <w:p w14:paraId="68F9058F"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Categoría</w:t>
            </w:r>
          </w:p>
        </w:tc>
        <w:tc>
          <w:tcPr>
            <w:tcW w:w="2900" w:type="dxa"/>
            <w:shd w:val="clear" w:color="auto" w:fill="1B3A5C"/>
            <w:tcMar>
              <w:top w:w="80" w:type="dxa"/>
              <w:left w:w="120" w:type="dxa"/>
              <w:bottom w:w="80" w:type="dxa"/>
              <w:right w:w="120" w:type="dxa"/>
            </w:tcMar>
            <w:vAlign w:val="center"/>
          </w:tcPr>
          <w:p w14:paraId="34573CC1"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N° trabajadores (2024)</w:t>
            </w:r>
          </w:p>
        </w:tc>
        <w:tc>
          <w:tcPr>
            <w:tcW w:w="2393" w:type="dxa"/>
            <w:shd w:val="clear" w:color="auto" w:fill="1B3A5C"/>
            <w:tcMar>
              <w:top w:w="80" w:type="dxa"/>
              <w:left w:w="120" w:type="dxa"/>
              <w:bottom w:w="80" w:type="dxa"/>
              <w:right w:w="120" w:type="dxa"/>
            </w:tcMar>
            <w:vAlign w:val="center"/>
          </w:tcPr>
          <w:p w14:paraId="11C290FB"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Fuente / Base</w:t>
            </w:r>
          </w:p>
        </w:tc>
      </w:tr>
      <w:tr w:rsidR="008D3AF5" w:rsidRPr="00377CFD" w14:paraId="2C55BDFC" w14:textId="77777777" w:rsidTr="0059636C">
        <w:tc>
          <w:tcPr>
            <w:tcW w:w="4200" w:type="dxa"/>
            <w:shd w:val="clear" w:color="auto" w:fill="FFFFFF"/>
            <w:tcMar>
              <w:top w:w="80" w:type="dxa"/>
              <w:left w:w="120" w:type="dxa"/>
              <w:bottom w:w="80" w:type="dxa"/>
              <w:right w:w="120" w:type="dxa"/>
            </w:tcMar>
            <w:vAlign w:val="center"/>
          </w:tcPr>
          <w:p w14:paraId="7CD2E8DF"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Total empleo directo sector minero</w:t>
            </w:r>
          </w:p>
        </w:tc>
        <w:tc>
          <w:tcPr>
            <w:tcW w:w="2900" w:type="dxa"/>
            <w:shd w:val="clear" w:color="auto" w:fill="FFFFFF"/>
            <w:tcMar>
              <w:top w:w="80" w:type="dxa"/>
              <w:left w:w="120" w:type="dxa"/>
              <w:bottom w:w="80" w:type="dxa"/>
              <w:right w:w="120" w:type="dxa"/>
            </w:tcMar>
            <w:vAlign w:val="center"/>
          </w:tcPr>
          <w:p w14:paraId="423CA2BB"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211.400</w:t>
            </w:r>
          </w:p>
        </w:tc>
        <w:tc>
          <w:tcPr>
            <w:tcW w:w="2393" w:type="dxa"/>
            <w:shd w:val="clear" w:color="auto" w:fill="FFFFFF"/>
            <w:tcMar>
              <w:top w:w="80" w:type="dxa"/>
              <w:left w:w="120" w:type="dxa"/>
              <w:bottom w:w="80" w:type="dxa"/>
              <w:right w:w="120" w:type="dxa"/>
            </w:tcMar>
            <w:vAlign w:val="center"/>
          </w:tcPr>
          <w:p w14:paraId="2B3BB32E"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COCHILCO, Anuario 2024</w:t>
            </w:r>
          </w:p>
        </w:tc>
      </w:tr>
      <w:tr w:rsidR="008D3AF5" w:rsidRPr="00377CFD" w14:paraId="6781598A" w14:textId="77777777" w:rsidTr="0059636C">
        <w:tc>
          <w:tcPr>
            <w:tcW w:w="4200" w:type="dxa"/>
            <w:shd w:val="clear" w:color="auto" w:fill="EAF2F8"/>
            <w:tcMar>
              <w:top w:w="80" w:type="dxa"/>
              <w:left w:w="120" w:type="dxa"/>
              <w:bottom w:w="80" w:type="dxa"/>
              <w:right w:w="120" w:type="dxa"/>
            </w:tcMar>
            <w:vAlign w:val="center"/>
          </w:tcPr>
          <w:p w14:paraId="706630F4"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 xml:space="preserve">  Trabajadores en empresas titulares (directos)</w:t>
            </w:r>
          </w:p>
        </w:tc>
        <w:tc>
          <w:tcPr>
            <w:tcW w:w="2900" w:type="dxa"/>
            <w:shd w:val="clear" w:color="auto" w:fill="EAF2F8"/>
            <w:tcMar>
              <w:top w:w="80" w:type="dxa"/>
              <w:left w:w="120" w:type="dxa"/>
              <w:bottom w:w="80" w:type="dxa"/>
              <w:right w:w="120" w:type="dxa"/>
            </w:tcMar>
            <w:vAlign w:val="center"/>
          </w:tcPr>
          <w:p w14:paraId="1B70FAA0"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95.130 (45%)</w:t>
            </w:r>
          </w:p>
        </w:tc>
        <w:tc>
          <w:tcPr>
            <w:tcW w:w="2393" w:type="dxa"/>
            <w:shd w:val="clear" w:color="auto" w:fill="EAF2F8"/>
            <w:tcMar>
              <w:top w:w="80" w:type="dxa"/>
              <w:left w:w="120" w:type="dxa"/>
              <w:bottom w:w="80" w:type="dxa"/>
              <w:right w:w="120" w:type="dxa"/>
            </w:tcMar>
            <w:vAlign w:val="center"/>
          </w:tcPr>
          <w:p w14:paraId="584B9AE0"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COCHILCO 2023</w:t>
            </w:r>
          </w:p>
        </w:tc>
      </w:tr>
      <w:tr w:rsidR="008D3AF5" w:rsidRPr="00377CFD" w14:paraId="53095085" w14:textId="77777777" w:rsidTr="0059636C">
        <w:tc>
          <w:tcPr>
            <w:tcW w:w="4200" w:type="dxa"/>
            <w:shd w:val="clear" w:color="auto" w:fill="FFFFFF"/>
            <w:tcMar>
              <w:top w:w="80" w:type="dxa"/>
              <w:left w:w="120" w:type="dxa"/>
              <w:bottom w:w="80" w:type="dxa"/>
              <w:right w:w="120" w:type="dxa"/>
            </w:tcMar>
            <w:vAlign w:val="center"/>
          </w:tcPr>
          <w:p w14:paraId="6854FEFD"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 xml:space="preserve">  Trabajadores subcontratistas en faena</w:t>
            </w:r>
          </w:p>
        </w:tc>
        <w:tc>
          <w:tcPr>
            <w:tcW w:w="2900" w:type="dxa"/>
            <w:shd w:val="clear" w:color="auto" w:fill="FFFFFF"/>
            <w:tcMar>
              <w:top w:w="80" w:type="dxa"/>
              <w:left w:w="120" w:type="dxa"/>
              <w:bottom w:w="80" w:type="dxa"/>
              <w:right w:w="120" w:type="dxa"/>
            </w:tcMar>
            <w:vAlign w:val="center"/>
          </w:tcPr>
          <w:p w14:paraId="1FC7136B"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116.270 (55%)</w:t>
            </w:r>
          </w:p>
        </w:tc>
        <w:tc>
          <w:tcPr>
            <w:tcW w:w="2393" w:type="dxa"/>
            <w:shd w:val="clear" w:color="auto" w:fill="FFFFFF"/>
            <w:tcMar>
              <w:top w:w="80" w:type="dxa"/>
              <w:left w:w="120" w:type="dxa"/>
              <w:bottom w:w="80" w:type="dxa"/>
              <w:right w:w="120" w:type="dxa"/>
            </w:tcMar>
            <w:vAlign w:val="center"/>
          </w:tcPr>
          <w:p w14:paraId="3340ABBD"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COCHILCO 2023</w:t>
            </w:r>
          </w:p>
        </w:tc>
      </w:tr>
      <w:tr w:rsidR="008D3AF5" w:rsidRPr="00377CFD" w14:paraId="1463CFEC" w14:textId="77777777" w:rsidTr="0059636C">
        <w:tc>
          <w:tcPr>
            <w:tcW w:w="4200" w:type="dxa"/>
            <w:shd w:val="clear" w:color="auto" w:fill="EAF2F8"/>
            <w:tcMar>
              <w:top w:w="80" w:type="dxa"/>
              <w:left w:w="120" w:type="dxa"/>
              <w:bottom w:w="80" w:type="dxa"/>
              <w:right w:w="120" w:type="dxa"/>
            </w:tcMar>
            <w:vAlign w:val="center"/>
          </w:tcPr>
          <w:p w14:paraId="48141746" w14:textId="77777777" w:rsidR="0059636C"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Puestos con dictamen CEN vigente</w:t>
            </w:r>
          </w:p>
          <w:p w14:paraId="2762D682" w14:textId="45CDB3B1"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(toda la economía)</w:t>
            </w:r>
          </w:p>
        </w:tc>
        <w:tc>
          <w:tcPr>
            <w:tcW w:w="2900" w:type="dxa"/>
            <w:shd w:val="clear" w:color="auto" w:fill="EAF2F8"/>
            <w:tcMar>
              <w:top w:w="80" w:type="dxa"/>
              <w:left w:w="120" w:type="dxa"/>
              <w:bottom w:w="80" w:type="dxa"/>
              <w:right w:w="120" w:type="dxa"/>
            </w:tcMar>
            <w:vAlign w:val="center"/>
          </w:tcPr>
          <w:p w14:paraId="15CC0B0D" w14:textId="0EE4F7E4" w:rsidR="008D3AF5" w:rsidRPr="0059636C" w:rsidRDefault="00E9480D" w:rsidP="004726E2">
            <w:pPr>
              <w:spacing w:line="276" w:lineRule="auto"/>
              <w:jc w:val="both"/>
              <w:rPr>
                <w:rFonts w:asciiTheme="majorHAnsi" w:hAnsiTheme="majorHAnsi" w:cstheme="majorHAnsi"/>
                <w:sz w:val="18"/>
                <w:szCs w:val="18"/>
              </w:rPr>
            </w:pPr>
            <w:r>
              <w:rPr>
                <w:rFonts w:ascii="Calibri" w:hAnsi="Calibri" w:cs="Calibri"/>
                <w:color w:val="1A1A1A"/>
                <w:sz w:val="18"/>
                <w:szCs w:val="18"/>
              </w:rPr>
              <w:t>~</w:t>
            </w:r>
            <w:r w:rsidRPr="0059636C">
              <w:rPr>
                <w:rFonts w:asciiTheme="majorHAnsi" w:hAnsiTheme="majorHAnsi" w:cstheme="majorHAnsi"/>
                <w:color w:val="1A1A1A"/>
                <w:sz w:val="18"/>
                <w:szCs w:val="18"/>
              </w:rPr>
              <w:t>48.000 puestos</w:t>
            </w:r>
          </w:p>
        </w:tc>
        <w:tc>
          <w:tcPr>
            <w:tcW w:w="2393" w:type="dxa"/>
            <w:shd w:val="clear" w:color="auto" w:fill="EAF2F8"/>
            <w:tcMar>
              <w:top w:w="80" w:type="dxa"/>
              <w:left w:w="120" w:type="dxa"/>
              <w:bottom w:w="80" w:type="dxa"/>
              <w:right w:w="120" w:type="dxa"/>
            </w:tcMar>
            <w:vAlign w:val="center"/>
          </w:tcPr>
          <w:p w14:paraId="59BDFD60" w14:textId="77777777" w:rsidR="0059636C"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Superintendencia de</w:t>
            </w:r>
          </w:p>
          <w:p w14:paraId="4FD0B2AF" w14:textId="68AE3286"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Pensiones, Dic. 2024</w:t>
            </w:r>
          </w:p>
        </w:tc>
      </w:tr>
      <w:tr w:rsidR="008D3AF5" w:rsidRPr="00377CFD" w14:paraId="1E676462" w14:textId="77777777" w:rsidTr="0059636C">
        <w:tc>
          <w:tcPr>
            <w:tcW w:w="4200" w:type="dxa"/>
            <w:shd w:val="clear" w:color="auto" w:fill="FFFFFF"/>
            <w:tcMar>
              <w:top w:w="80" w:type="dxa"/>
              <w:left w:w="120" w:type="dxa"/>
              <w:bottom w:w="80" w:type="dxa"/>
              <w:right w:w="120" w:type="dxa"/>
            </w:tcMar>
            <w:vAlign w:val="center"/>
          </w:tcPr>
          <w:p w14:paraId="542C5D3C"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 xml:space="preserve">  De los cuales: sector minero estimado</w:t>
            </w:r>
          </w:p>
        </w:tc>
        <w:tc>
          <w:tcPr>
            <w:tcW w:w="2900" w:type="dxa"/>
            <w:shd w:val="clear" w:color="auto" w:fill="FFFFFF"/>
            <w:tcMar>
              <w:top w:w="80" w:type="dxa"/>
              <w:left w:w="120" w:type="dxa"/>
              <w:bottom w:w="80" w:type="dxa"/>
              <w:right w:w="120" w:type="dxa"/>
            </w:tcMar>
            <w:vAlign w:val="center"/>
          </w:tcPr>
          <w:p w14:paraId="4501B218"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~32.000 puestos / trabajadores</w:t>
            </w:r>
          </w:p>
        </w:tc>
        <w:tc>
          <w:tcPr>
            <w:tcW w:w="2393" w:type="dxa"/>
            <w:shd w:val="clear" w:color="auto" w:fill="FFFFFF"/>
            <w:tcMar>
              <w:top w:w="80" w:type="dxa"/>
              <w:left w:w="120" w:type="dxa"/>
              <w:bottom w:w="80" w:type="dxa"/>
              <w:right w:w="120" w:type="dxa"/>
            </w:tcMar>
            <w:vAlign w:val="center"/>
          </w:tcPr>
          <w:p w14:paraId="77F9FFDC" w14:textId="77777777" w:rsidR="0059636C"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Estimación basada en</w:t>
            </w:r>
          </w:p>
          <w:p w14:paraId="6D1A20C0" w14:textId="4CD982D9"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Registro CEN público</w:t>
            </w:r>
          </w:p>
        </w:tc>
      </w:tr>
      <w:tr w:rsidR="008D3AF5" w:rsidRPr="00377CFD" w14:paraId="20B06C4D" w14:textId="77777777" w:rsidTr="0059636C">
        <w:tc>
          <w:tcPr>
            <w:tcW w:w="4200" w:type="dxa"/>
            <w:shd w:val="clear" w:color="auto" w:fill="EAF2F8"/>
            <w:tcMar>
              <w:top w:w="80" w:type="dxa"/>
              <w:left w:w="120" w:type="dxa"/>
              <w:bottom w:w="80" w:type="dxa"/>
              <w:right w:w="120" w:type="dxa"/>
            </w:tcMar>
            <w:vAlign w:val="center"/>
          </w:tcPr>
          <w:p w14:paraId="7F82B62D"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eastAsia="Arial Unicode MS" w:hAnsiTheme="majorHAnsi" w:cstheme="majorHAnsi"/>
                <w:color w:val="1A1A1A"/>
                <w:sz w:val="18"/>
                <w:szCs w:val="18"/>
              </w:rPr>
              <w:t>Trabajadores mineros estimados en condición Factor A (≥3.000 msnm)</w:t>
            </w:r>
          </w:p>
        </w:tc>
        <w:tc>
          <w:tcPr>
            <w:tcW w:w="2900" w:type="dxa"/>
            <w:shd w:val="clear" w:color="auto" w:fill="EAF2F8"/>
            <w:tcMar>
              <w:top w:w="80" w:type="dxa"/>
              <w:left w:w="120" w:type="dxa"/>
              <w:bottom w:w="80" w:type="dxa"/>
              <w:right w:w="120" w:type="dxa"/>
            </w:tcMar>
            <w:vAlign w:val="center"/>
          </w:tcPr>
          <w:p w14:paraId="5493CD7D"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~87.000</w:t>
            </w:r>
          </w:p>
        </w:tc>
        <w:tc>
          <w:tcPr>
            <w:tcW w:w="2393" w:type="dxa"/>
            <w:shd w:val="clear" w:color="auto" w:fill="EAF2F8"/>
            <w:tcMar>
              <w:top w:w="80" w:type="dxa"/>
              <w:left w:w="120" w:type="dxa"/>
              <w:bottom w:w="80" w:type="dxa"/>
              <w:right w:w="120" w:type="dxa"/>
            </w:tcMar>
            <w:vAlign w:val="center"/>
          </w:tcPr>
          <w:p w14:paraId="453F190A"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SERNAGEOMIN + COCHILCO, faenas norte</w:t>
            </w:r>
          </w:p>
        </w:tc>
      </w:tr>
      <w:tr w:rsidR="008D3AF5" w:rsidRPr="00377CFD" w14:paraId="7038C8C8" w14:textId="77777777" w:rsidTr="0059636C">
        <w:tc>
          <w:tcPr>
            <w:tcW w:w="4200" w:type="dxa"/>
            <w:shd w:val="clear" w:color="auto" w:fill="FFFFFF"/>
            <w:tcMar>
              <w:top w:w="80" w:type="dxa"/>
              <w:left w:w="120" w:type="dxa"/>
              <w:bottom w:w="80" w:type="dxa"/>
              <w:right w:w="120" w:type="dxa"/>
            </w:tcMar>
            <w:vAlign w:val="center"/>
          </w:tcPr>
          <w:p w14:paraId="2B378D62"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Trabajadores mineros en turnos 7×7 o equivalente (Factor B)</w:t>
            </w:r>
          </w:p>
        </w:tc>
        <w:tc>
          <w:tcPr>
            <w:tcW w:w="2900" w:type="dxa"/>
            <w:shd w:val="clear" w:color="auto" w:fill="FFFFFF"/>
            <w:tcMar>
              <w:top w:w="80" w:type="dxa"/>
              <w:left w:w="120" w:type="dxa"/>
              <w:bottom w:w="80" w:type="dxa"/>
              <w:right w:w="120" w:type="dxa"/>
            </w:tcMar>
            <w:vAlign w:val="center"/>
          </w:tcPr>
          <w:p w14:paraId="0D37A00D"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~143.000</w:t>
            </w:r>
          </w:p>
        </w:tc>
        <w:tc>
          <w:tcPr>
            <w:tcW w:w="2393" w:type="dxa"/>
            <w:shd w:val="clear" w:color="auto" w:fill="FFFFFF"/>
            <w:tcMar>
              <w:top w:w="80" w:type="dxa"/>
              <w:left w:w="120" w:type="dxa"/>
              <w:bottom w:w="80" w:type="dxa"/>
              <w:right w:w="120" w:type="dxa"/>
            </w:tcMar>
            <w:vAlign w:val="center"/>
          </w:tcPr>
          <w:p w14:paraId="1FFAD44C" w14:textId="77777777" w:rsidR="0059636C"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COCHILCO</w:t>
            </w:r>
          </w:p>
          <w:p w14:paraId="2A03D616" w14:textId="74AF2B6B"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Estudio Empleo 2022</w:t>
            </w:r>
          </w:p>
        </w:tc>
      </w:tr>
      <w:tr w:rsidR="008D3AF5" w:rsidRPr="00377CFD" w14:paraId="1507B847" w14:textId="77777777" w:rsidTr="0059636C">
        <w:tc>
          <w:tcPr>
            <w:tcW w:w="4200" w:type="dxa"/>
            <w:shd w:val="clear" w:color="auto" w:fill="EAF2F8"/>
            <w:tcMar>
              <w:top w:w="80" w:type="dxa"/>
              <w:left w:w="120" w:type="dxa"/>
              <w:bottom w:w="80" w:type="dxa"/>
              <w:right w:w="120" w:type="dxa"/>
            </w:tcMar>
            <w:vAlign w:val="center"/>
          </w:tcPr>
          <w:p w14:paraId="4D7B82BD"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eastAsia="Arial Unicode MS" w:hAnsiTheme="majorHAnsi" w:cstheme="majorHAnsi"/>
                <w:color w:val="1A1A1A"/>
                <w:sz w:val="18"/>
                <w:szCs w:val="18"/>
              </w:rPr>
              <w:t>Trabajadores mineros con exposición ruido ≥85 dB(A) (Factor D)</w:t>
            </w:r>
          </w:p>
        </w:tc>
        <w:tc>
          <w:tcPr>
            <w:tcW w:w="2900" w:type="dxa"/>
            <w:shd w:val="clear" w:color="auto" w:fill="EAF2F8"/>
            <w:tcMar>
              <w:top w:w="80" w:type="dxa"/>
              <w:left w:w="120" w:type="dxa"/>
              <w:bottom w:w="80" w:type="dxa"/>
              <w:right w:w="120" w:type="dxa"/>
            </w:tcMar>
            <w:vAlign w:val="center"/>
          </w:tcPr>
          <w:p w14:paraId="16535DA9"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~98.000</w:t>
            </w:r>
          </w:p>
        </w:tc>
        <w:tc>
          <w:tcPr>
            <w:tcW w:w="2393" w:type="dxa"/>
            <w:shd w:val="clear" w:color="auto" w:fill="EAF2F8"/>
            <w:tcMar>
              <w:top w:w="80" w:type="dxa"/>
              <w:left w:w="120" w:type="dxa"/>
              <w:bottom w:w="80" w:type="dxa"/>
              <w:right w:w="120" w:type="dxa"/>
            </w:tcMar>
            <w:vAlign w:val="center"/>
          </w:tcPr>
          <w:p w14:paraId="14E03F50" w14:textId="77777777" w:rsidR="0059636C"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SUSESO</w:t>
            </w:r>
          </w:p>
          <w:p w14:paraId="173CDD6F" w14:textId="79E98BF8"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Informe Vigilancia Hipoacusia 2023</w:t>
            </w:r>
          </w:p>
        </w:tc>
      </w:tr>
      <w:tr w:rsidR="008D3AF5" w:rsidRPr="00377CFD" w14:paraId="222F7886" w14:textId="77777777" w:rsidTr="0059636C">
        <w:tc>
          <w:tcPr>
            <w:tcW w:w="4200" w:type="dxa"/>
            <w:shd w:val="clear" w:color="auto" w:fill="FFFFFF"/>
            <w:tcMar>
              <w:top w:w="80" w:type="dxa"/>
              <w:left w:w="120" w:type="dxa"/>
              <w:bottom w:w="80" w:type="dxa"/>
              <w:right w:w="120" w:type="dxa"/>
            </w:tcMar>
            <w:vAlign w:val="center"/>
          </w:tcPr>
          <w:p w14:paraId="6435442C"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Trabajadores mineros en jornada excepcional Art. 38 CT (Factor G)</w:t>
            </w:r>
          </w:p>
        </w:tc>
        <w:tc>
          <w:tcPr>
            <w:tcW w:w="2900" w:type="dxa"/>
            <w:shd w:val="clear" w:color="auto" w:fill="FFFFFF"/>
            <w:tcMar>
              <w:top w:w="80" w:type="dxa"/>
              <w:left w:w="120" w:type="dxa"/>
              <w:bottom w:w="80" w:type="dxa"/>
              <w:right w:w="120" w:type="dxa"/>
            </w:tcMar>
            <w:vAlign w:val="center"/>
          </w:tcPr>
          <w:p w14:paraId="6A8537A7"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~74.000</w:t>
            </w:r>
          </w:p>
        </w:tc>
        <w:tc>
          <w:tcPr>
            <w:tcW w:w="2393" w:type="dxa"/>
            <w:shd w:val="clear" w:color="auto" w:fill="FFFFFF"/>
            <w:tcMar>
              <w:top w:w="80" w:type="dxa"/>
              <w:left w:w="120" w:type="dxa"/>
              <w:bottom w:w="80" w:type="dxa"/>
              <w:right w:w="120" w:type="dxa"/>
            </w:tcMar>
            <w:vAlign w:val="center"/>
          </w:tcPr>
          <w:p w14:paraId="13B5028C"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DT, Registro Resoluciones Jornada Excepcional 2023</w:t>
            </w:r>
          </w:p>
        </w:tc>
      </w:tr>
      <w:tr w:rsidR="008D3AF5" w:rsidRPr="00377CFD" w14:paraId="7978CE9C" w14:textId="77777777" w:rsidTr="0059636C">
        <w:tc>
          <w:tcPr>
            <w:tcW w:w="4200" w:type="dxa"/>
            <w:shd w:val="clear" w:color="auto" w:fill="EAF2F8"/>
            <w:tcMar>
              <w:top w:w="80" w:type="dxa"/>
              <w:left w:w="120" w:type="dxa"/>
              <w:bottom w:w="80" w:type="dxa"/>
              <w:right w:w="120" w:type="dxa"/>
            </w:tcMar>
            <w:vAlign w:val="center"/>
          </w:tcPr>
          <w:p w14:paraId="122F60FC"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eastAsia="Arial Unicode MS" w:hAnsiTheme="majorHAnsi" w:cstheme="majorHAnsi"/>
                <w:color w:val="1A1A1A"/>
                <w:sz w:val="18"/>
                <w:szCs w:val="18"/>
              </w:rPr>
              <w:t>ESTIMACIÓN: trabajadores que cumplirían ≥1 factor objetivo</w:t>
            </w:r>
          </w:p>
        </w:tc>
        <w:tc>
          <w:tcPr>
            <w:tcW w:w="2900" w:type="dxa"/>
            <w:shd w:val="clear" w:color="auto" w:fill="EAF2F8"/>
            <w:tcMar>
              <w:top w:w="80" w:type="dxa"/>
              <w:left w:w="120" w:type="dxa"/>
              <w:bottom w:w="80" w:type="dxa"/>
              <w:right w:w="120" w:type="dxa"/>
            </w:tcMar>
            <w:vAlign w:val="center"/>
          </w:tcPr>
          <w:p w14:paraId="3EA84EC8"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~161.000 (76% del sector)</w:t>
            </w:r>
          </w:p>
        </w:tc>
        <w:tc>
          <w:tcPr>
            <w:tcW w:w="2393" w:type="dxa"/>
            <w:shd w:val="clear" w:color="auto" w:fill="EAF2F8"/>
            <w:tcMar>
              <w:top w:w="80" w:type="dxa"/>
              <w:left w:w="120" w:type="dxa"/>
              <w:bottom w:w="80" w:type="dxa"/>
              <w:right w:w="120" w:type="dxa"/>
            </w:tcMar>
            <w:vAlign w:val="center"/>
          </w:tcPr>
          <w:p w14:paraId="44547F58" w14:textId="77777777" w:rsidR="0059636C"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Estimación propia</w:t>
            </w:r>
          </w:p>
          <w:p w14:paraId="59E32113" w14:textId="78A628AF"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(proyección cruzada de fuentes)</w:t>
            </w:r>
          </w:p>
        </w:tc>
      </w:tr>
      <w:tr w:rsidR="008D3AF5" w:rsidRPr="00377CFD" w14:paraId="08B8AAA0" w14:textId="77777777" w:rsidTr="0059636C">
        <w:tc>
          <w:tcPr>
            <w:tcW w:w="4200" w:type="dxa"/>
            <w:shd w:val="clear" w:color="auto" w:fill="FFFFFF"/>
            <w:tcMar>
              <w:top w:w="80" w:type="dxa"/>
              <w:left w:w="120" w:type="dxa"/>
              <w:bottom w:w="80" w:type="dxa"/>
              <w:right w:w="120" w:type="dxa"/>
            </w:tcMar>
            <w:vAlign w:val="center"/>
          </w:tcPr>
          <w:p w14:paraId="2A9B286A"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BRECHA: sin calificación pese a cumplir factores objetivos</w:t>
            </w:r>
          </w:p>
        </w:tc>
        <w:tc>
          <w:tcPr>
            <w:tcW w:w="2900" w:type="dxa"/>
            <w:shd w:val="clear" w:color="auto" w:fill="FFFFFF"/>
            <w:tcMar>
              <w:top w:w="80" w:type="dxa"/>
              <w:left w:w="120" w:type="dxa"/>
              <w:bottom w:w="80" w:type="dxa"/>
              <w:right w:w="120" w:type="dxa"/>
            </w:tcMar>
            <w:vAlign w:val="center"/>
          </w:tcPr>
          <w:p w14:paraId="1D6A3A29"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~129.000 (61% del sector)</w:t>
            </w:r>
          </w:p>
        </w:tc>
        <w:tc>
          <w:tcPr>
            <w:tcW w:w="2393" w:type="dxa"/>
            <w:shd w:val="clear" w:color="auto" w:fill="FFFFFF"/>
            <w:tcMar>
              <w:top w:w="80" w:type="dxa"/>
              <w:left w:w="120" w:type="dxa"/>
              <w:bottom w:w="80" w:type="dxa"/>
              <w:right w:w="120" w:type="dxa"/>
            </w:tcMar>
            <w:vAlign w:val="center"/>
          </w:tcPr>
          <w:p w14:paraId="0F45ED98"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Diferencia entre estimado y calificados actuales</w:t>
            </w:r>
          </w:p>
        </w:tc>
      </w:tr>
    </w:tbl>
    <w:p w14:paraId="2F767DC3"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6FC3802C" w14:textId="783C4895"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brecha estimada de 129.000 trabajadores representa el principal problema de equidad del sistema vigente. Estos trabajadores están expuestos a las mismas condiciones de desgaste acelerado que sus pares calificados, pero no reciben las cotizaciones adicionales ni acumulan los períodos que les permitan anticipar su pensión.</w:t>
      </w:r>
    </w:p>
    <w:p w14:paraId="3A190C20" w14:textId="71A8785C" w:rsidR="0059636C" w:rsidRDefault="00000000" w:rsidP="004726E2">
      <w:pPr>
        <w:spacing w:after="100"/>
        <w:jc w:val="both"/>
        <w:rPr>
          <w:rFonts w:asciiTheme="majorHAnsi" w:hAnsiTheme="majorHAnsi" w:cstheme="majorHAnsi"/>
          <w:color w:val="1A1A1A"/>
          <w:sz w:val="20"/>
          <w:szCs w:val="20"/>
        </w:rPr>
      </w:pPr>
      <w:r w:rsidRPr="00377CFD">
        <w:rPr>
          <w:rFonts w:asciiTheme="majorHAnsi" w:hAnsiTheme="majorHAnsi" w:cstheme="majorHAnsi"/>
          <w:color w:val="1A1A1A"/>
          <w:sz w:val="20"/>
          <w:szCs w:val="20"/>
        </w:rPr>
        <w:t xml:space="preserve"> </w:t>
      </w:r>
    </w:p>
    <w:p w14:paraId="671E514A" w14:textId="77777777" w:rsidR="0059636C" w:rsidRDefault="0059636C">
      <w:pPr>
        <w:rPr>
          <w:rFonts w:asciiTheme="majorHAnsi" w:hAnsiTheme="majorHAnsi" w:cstheme="majorHAnsi"/>
          <w:color w:val="1A1A1A"/>
          <w:sz w:val="20"/>
          <w:szCs w:val="20"/>
        </w:rPr>
      </w:pPr>
      <w:r>
        <w:rPr>
          <w:rFonts w:asciiTheme="majorHAnsi" w:hAnsiTheme="majorHAnsi" w:cstheme="majorHAnsi"/>
          <w:color w:val="1A1A1A"/>
          <w:sz w:val="20"/>
          <w:szCs w:val="20"/>
        </w:rPr>
        <w:br w:type="page"/>
      </w:r>
    </w:p>
    <w:p w14:paraId="6DF2F014" w14:textId="77777777" w:rsidR="008D3AF5" w:rsidRPr="00377CFD" w:rsidRDefault="00000000" w:rsidP="004726E2">
      <w:pPr>
        <w:pStyle w:val="Ttulo2"/>
        <w:jc w:val="both"/>
        <w:rPr>
          <w:rFonts w:asciiTheme="majorHAnsi" w:hAnsiTheme="majorHAnsi" w:cstheme="majorHAnsi"/>
          <w:sz w:val="20"/>
          <w:szCs w:val="20"/>
        </w:rPr>
      </w:pPr>
      <w:bookmarkStart w:id="17" w:name="_Toc228400945"/>
      <w:r w:rsidRPr="00377CFD">
        <w:rPr>
          <w:rFonts w:asciiTheme="majorHAnsi" w:hAnsiTheme="majorHAnsi" w:cstheme="majorHAnsi"/>
          <w:sz w:val="20"/>
          <w:szCs w:val="20"/>
        </w:rPr>
        <w:lastRenderedPageBreak/>
        <w:t>5.2 Impacto Previsional Proyectado</w:t>
      </w:r>
      <w:bookmarkEnd w:id="17"/>
    </w:p>
    <w:p w14:paraId="1BF121E9" w14:textId="77777777" w:rsidR="008D3AF5" w:rsidRPr="00377CFD" w:rsidRDefault="00000000" w:rsidP="004726E2">
      <w:pPr>
        <w:pStyle w:val="Ttulo3"/>
        <w:jc w:val="both"/>
        <w:rPr>
          <w:rFonts w:asciiTheme="majorHAnsi" w:hAnsiTheme="majorHAnsi" w:cstheme="majorHAnsi"/>
          <w:sz w:val="20"/>
          <w:szCs w:val="20"/>
        </w:rPr>
      </w:pPr>
      <w:bookmarkStart w:id="18" w:name="_Toc228400946"/>
      <w:r w:rsidRPr="00377CFD">
        <w:rPr>
          <w:rFonts w:asciiTheme="majorHAnsi" w:hAnsiTheme="majorHAnsi" w:cstheme="majorHAnsi"/>
          <w:sz w:val="20"/>
          <w:szCs w:val="20"/>
        </w:rPr>
        <w:t>5.2.1 Efecto sobre cotizaciones adicionales</w:t>
      </w:r>
      <w:bookmarkEnd w:id="18"/>
    </w:p>
    <w:p w14:paraId="0CAE97D4"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calificación como trabajo pesado impone una cotización adicional del 2% (trabajador) + 2% (empleador) sobre la remuneración imponible. En la minería, la remuneración imponible promedio del trabajador directo es de $1.850.000 mensuales y la del contratista $1.220.000 (COCHILCO 2024). El impacto proyectado sobre la base ampliada:</w:t>
      </w:r>
    </w:p>
    <w:tbl>
      <w:tblPr>
        <w:tblStyle w:val="af1"/>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842"/>
        <w:gridCol w:w="1985"/>
        <w:gridCol w:w="1984"/>
        <w:gridCol w:w="1701"/>
      </w:tblGrid>
      <w:tr w:rsidR="008D3AF5" w:rsidRPr="00377CFD" w14:paraId="6A7357A0" w14:textId="77777777" w:rsidTr="0059636C">
        <w:trPr>
          <w:trHeight w:val="587"/>
        </w:trPr>
        <w:tc>
          <w:tcPr>
            <w:tcW w:w="1555" w:type="dxa"/>
            <w:shd w:val="clear" w:color="auto" w:fill="1B3A5C"/>
            <w:tcMar>
              <w:top w:w="80" w:type="dxa"/>
              <w:left w:w="120" w:type="dxa"/>
              <w:bottom w:w="80" w:type="dxa"/>
              <w:right w:w="120" w:type="dxa"/>
            </w:tcMar>
            <w:vAlign w:val="center"/>
          </w:tcPr>
          <w:p w14:paraId="21034BA0"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Escenario</w:t>
            </w:r>
          </w:p>
        </w:tc>
        <w:tc>
          <w:tcPr>
            <w:tcW w:w="1842" w:type="dxa"/>
            <w:shd w:val="clear" w:color="auto" w:fill="1B3A5C"/>
            <w:tcMar>
              <w:top w:w="80" w:type="dxa"/>
              <w:left w:w="120" w:type="dxa"/>
              <w:bottom w:w="80" w:type="dxa"/>
              <w:right w:w="120" w:type="dxa"/>
            </w:tcMar>
            <w:vAlign w:val="center"/>
          </w:tcPr>
          <w:p w14:paraId="16790807"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N° trabajadores adicionales calificados</w:t>
            </w:r>
          </w:p>
        </w:tc>
        <w:tc>
          <w:tcPr>
            <w:tcW w:w="1985" w:type="dxa"/>
            <w:shd w:val="clear" w:color="auto" w:fill="1B3A5C"/>
            <w:tcMar>
              <w:top w:w="80" w:type="dxa"/>
              <w:left w:w="120" w:type="dxa"/>
              <w:bottom w:w="80" w:type="dxa"/>
              <w:right w:w="120" w:type="dxa"/>
            </w:tcMar>
            <w:vAlign w:val="center"/>
          </w:tcPr>
          <w:p w14:paraId="3C35B249"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Renta imponible promedio mensual</w:t>
            </w:r>
          </w:p>
        </w:tc>
        <w:tc>
          <w:tcPr>
            <w:tcW w:w="1984" w:type="dxa"/>
            <w:shd w:val="clear" w:color="auto" w:fill="1B3A5C"/>
            <w:tcMar>
              <w:top w:w="80" w:type="dxa"/>
              <w:left w:w="120" w:type="dxa"/>
              <w:bottom w:w="80" w:type="dxa"/>
              <w:right w:w="120" w:type="dxa"/>
            </w:tcMar>
            <w:vAlign w:val="center"/>
          </w:tcPr>
          <w:p w14:paraId="730567C5"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Cotización adicional mensual total (4%)</w:t>
            </w:r>
          </w:p>
        </w:tc>
        <w:tc>
          <w:tcPr>
            <w:tcW w:w="1701" w:type="dxa"/>
            <w:shd w:val="clear" w:color="auto" w:fill="1B3A5C"/>
            <w:tcMar>
              <w:top w:w="80" w:type="dxa"/>
              <w:left w:w="120" w:type="dxa"/>
              <w:bottom w:w="80" w:type="dxa"/>
              <w:right w:w="120" w:type="dxa"/>
            </w:tcMar>
            <w:vAlign w:val="center"/>
          </w:tcPr>
          <w:p w14:paraId="316AD4D2"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Acumulación anual al sistema</w:t>
            </w:r>
          </w:p>
        </w:tc>
      </w:tr>
      <w:tr w:rsidR="008D3AF5" w:rsidRPr="00377CFD" w14:paraId="6FD5448E" w14:textId="77777777" w:rsidTr="0059636C">
        <w:trPr>
          <w:trHeight w:val="588"/>
        </w:trPr>
        <w:tc>
          <w:tcPr>
            <w:tcW w:w="1555" w:type="dxa"/>
            <w:shd w:val="clear" w:color="auto" w:fill="FFFFFF"/>
            <w:tcMar>
              <w:top w:w="80" w:type="dxa"/>
              <w:left w:w="120" w:type="dxa"/>
              <w:bottom w:w="80" w:type="dxa"/>
              <w:right w:w="120" w:type="dxa"/>
            </w:tcMar>
            <w:vAlign w:val="center"/>
          </w:tcPr>
          <w:p w14:paraId="345CA4D8" w14:textId="77777777" w:rsidR="0059636C" w:rsidRDefault="00000000" w:rsidP="0059636C">
            <w:pPr>
              <w:spacing w:line="276" w:lineRule="auto"/>
              <w:jc w:val="center"/>
              <w:rPr>
                <w:rFonts w:asciiTheme="majorHAnsi" w:hAnsiTheme="majorHAnsi" w:cstheme="majorHAnsi"/>
                <w:color w:val="1A1A1A"/>
                <w:sz w:val="18"/>
                <w:szCs w:val="18"/>
              </w:rPr>
            </w:pPr>
            <w:r w:rsidRPr="0059636C">
              <w:rPr>
                <w:rFonts w:asciiTheme="majorHAnsi" w:hAnsiTheme="majorHAnsi" w:cstheme="majorHAnsi"/>
                <w:color w:val="1A1A1A"/>
                <w:sz w:val="18"/>
                <w:szCs w:val="18"/>
              </w:rPr>
              <w:t>Año 1</w:t>
            </w:r>
          </w:p>
          <w:p w14:paraId="65F57F12" w14:textId="612CC33D"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(inscripción masiva inicial)</w:t>
            </w:r>
          </w:p>
        </w:tc>
        <w:tc>
          <w:tcPr>
            <w:tcW w:w="1842" w:type="dxa"/>
            <w:shd w:val="clear" w:color="auto" w:fill="FFFFFF"/>
            <w:tcMar>
              <w:top w:w="80" w:type="dxa"/>
              <w:left w:w="120" w:type="dxa"/>
              <w:bottom w:w="80" w:type="dxa"/>
              <w:right w:w="120" w:type="dxa"/>
            </w:tcMar>
            <w:vAlign w:val="center"/>
          </w:tcPr>
          <w:p w14:paraId="1618CF9A"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65.000</w:t>
            </w:r>
          </w:p>
        </w:tc>
        <w:tc>
          <w:tcPr>
            <w:tcW w:w="1985" w:type="dxa"/>
            <w:shd w:val="clear" w:color="auto" w:fill="FFFFFF"/>
            <w:tcMar>
              <w:top w:w="80" w:type="dxa"/>
              <w:left w:w="120" w:type="dxa"/>
              <w:bottom w:w="80" w:type="dxa"/>
              <w:right w:w="120" w:type="dxa"/>
            </w:tcMar>
            <w:vAlign w:val="center"/>
          </w:tcPr>
          <w:p w14:paraId="010A608C" w14:textId="77777777" w:rsidR="0059636C" w:rsidRDefault="00000000" w:rsidP="0059636C">
            <w:pPr>
              <w:spacing w:line="276" w:lineRule="auto"/>
              <w:jc w:val="center"/>
              <w:rPr>
                <w:rFonts w:asciiTheme="majorHAnsi" w:hAnsiTheme="majorHAnsi" w:cstheme="majorHAnsi"/>
                <w:color w:val="1A1A1A"/>
                <w:sz w:val="18"/>
                <w:szCs w:val="18"/>
              </w:rPr>
            </w:pPr>
            <w:r w:rsidRPr="0059636C">
              <w:rPr>
                <w:rFonts w:asciiTheme="majorHAnsi" w:hAnsiTheme="majorHAnsi" w:cstheme="majorHAnsi"/>
                <w:color w:val="1A1A1A"/>
                <w:sz w:val="18"/>
                <w:szCs w:val="18"/>
              </w:rPr>
              <w:t>$1.535.000</w:t>
            </w:r>
          </w:p>
          <w:p w14:paraId="50E0F64D" w14:textId="336D792E"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(prom</w:t>
            </w:r>
            <w:r w:rsidR="0059636C">
              <w:rPr>
                <w:rFonts w:asciiTheme="majorHAnsi" w:hAnsiTheme="majorHAnsi" w:cstheme="majorHAnsi"/>
                <w:color w:val="1A1A1A"/>
                <w:sz w:val="18"/>
                <w:szCs w:val="18"/>
              </w:rPr>
              <w:t>edio</w:t>
            </w:r>
            <w:r w:rsidRPr="0059636C">
              <w:rPr>
                <w:rFonts w:asciiTheme="majorHAnsi" w:hAnsiTheme="majorHAnsi" w:cstheme="majorHAnsi"/>
                <w:color w:val="1A1A1A"/>
                <w:sz w:val="18"/>
                <w:szCs w:val="18"/>
              </w:rPr>
              <w:t xml:space="preserve"> ponderado)</w:t>
            </w:r>
          </w:p>
        </w:tc>
        <w:tc>
          <w:tcPr>
            <w:tcW w:w="1984" w:type="dxa"/>
            <w:shd w:val="clear" w:color="auto" w:fill="FFFFFF"/>
            <w:tcMar>
              <w:top w:w="80" w:type="dxa"/>
              <w:left w:w="120" w:type="dxa"/>
              <w:bottom w:w="80" w:type="dxa"/>
              <w:right w:w="120" w:type="dxa"/>
            </w:tcMar>
            <w:vAlign w:val="center"/>
          </w:tcPr>
          <w:p w14:paraId="6155BA04"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$3.991 millones</w:t>
            </w:r>
          </w:p>
        </w:tc>
        <w:tc>
          <w:tcPr>
            <w:tcW w:w="1701" w:type="dxa"/>
            <w:shd w:val="clear" w:color="auto" w:fill="FFFFFF"/>
            <w:tcMar>
              <w:top w:w="80" w:type="dxa"/>
              <w:left w:w="120" w:type="dxa"/>
              <w:bottom w:w="80" w:type="dxa"/>
              <w:right w:w="120" w:type="dxa"/>
            </w:tcMar>
            <w:vAlign w:val="center"/>
          </w:tcPr>
          <w:p w14:paraId="30CE27AF"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$47.892 millones</w:t>
            </w:r>
          </w:p>
        </w:tc>
      </w:tr>
      <w:tr w:rsidR="008D3AF5" w:rsidRPr="00377CFD" w14:paraId="2C13CD44" w14:textId="77777777" w:rsidTr="0059636C">
        <w:trPr>
          <w:trHeight w:val="299"/>
        </w:trPr>
        <w:tc>
          <w:tcPr>
            <w:tcW w:w="1555" w:type="dxa"/>
            <w:shd w:val="clear" w:color="auto" w:fill="EAF2F8"/>
            <w:tcMar>
              <w:top w:w="80" w:type="dxa"/>
              <w:left w:w="120" w:type="dxa"/>
              <w:bottom w:w="80" w:type="dxa"/>
              <w:right w:w="120" w:type="dxa"/>
            </w:tcMar>
            <w:vAlign w:val="center"/>
          </w:tcPr>
          <w:p w14:paraId="63B3EF93"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Año 2</w:t>
            </w:r>
          </w:p>
        </w:tc>
        <w:tc>
          <w:tcPr>
            <w:tcW w:w="1842" w:type="dxa"/>
            <w:shd w:val="clear" w:color="auto" w:fill="EAF2F8"/>
            <w:tcMar>
              <w:top w:w="80" w:type="dxa"/>
              <w:left w:w="120" w:type="dxa"/>
              <w:bottom w:w="80" w:type="dxa"/>
              <w:right w:w="120" w:type="dxa"/>
            </w:tcMar>
            <w:vAlign w:val="center"/>
          </w:tcPr>
          <w:p w14:paraId="08FABB23"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100.000</w:t>
            </w:r>
          </w:p>
        </w:tc>
        <w:tc>
          <w:tcPr>
            <w:tcW w:w="1985" w:type="dxa"/>
            <w:shd w:val="clear" w:color="auto" w:fill="EAF2F8"/>
            <w:tcMar>
              <w:top w:w="80" w:type="dxa"/>
              <w:left w:w="120" w:type="dxa"/>
              <w:bottom w:w="80" w:type="dxa"/>
              <w:right w:w="120" w:type="dxa"/>
            </w:tcMar>
            <w:vAlign w:val="center"/>
          </w:tcPr>
          <w:p w14:paraId="15E9F44D"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$1.535.000</w:t>
            </w:r>
          </w:p>
        </w:tc>
        <w:tc>
          <w:tcPr>
            <w:tcW w:w="1984" w:type="dxa"/>
            <w:shd w:val="clear" w:color="auto" w:fill="EAF2F8"/>
            <w:tcMar>
              <w:top w:w="80" w:type="dxa"/>
              <w:left w:w="120" w:type="dxa"/>
              <w:bottom w:w="80" w:type="dxa"/>
              <w:right w:w="120" w:type="dxa"/>
            </w:tcMar>
            <w:vAlign w:val="center"/>
          </w:tcPr>
          <w:p w14:paraId="4B4DE57F"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$6.140 millones</w:t>
            </w:r>
          </w:p>
        </w:tc>
        <w:tc>
          <w:tcPr>
            <w:tcW w:w="1701" w:type="dxa"/>
            <w:shd w:val="clear" w:color="auto" w:fill="EAF2F8"/>
            <w:tcMar>
              <w:top w:w="80" w:type="dxa"/>
              <w:left w:w="120" w:type="dxa"/>
              <w:bottom w:w="80" w:type="dxa"/>
              <w:right w:w="120" w:type="dxa"/>
            </w:tcMar>
            <w:vAlign w:val="center"/>
          </w:tcPr>
          <w:p w14:paraId="066A0378"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$73.680 millones</w:t>
            </w:r>
          </w:p>
        </w:tc>
      </w:tr>
      <w:tr w:rsidR="008D3AF5" w:rsidRPr="00377CFD" w14:paraId="71D4EEB3" w14:textId="77777777" w:rsidTr="0059636C">
        <w:trPr>
          <w:trHeight w:val="588"/>
        </w:trPr>
        <w:tc>
          <w:tcPr>
            <w:tcW w:w="1555" w:type="dxa"/>
            <w:shd w:val="clear" w:color="auto" w:fill="FFFFFF"/>
            <w:tcMar>
              <w:top w:w="80" w:type="dxa"/>
              <w:left w:w="120" w:type="dxa"/>
              <w:bottom w:w="80" w:type="dxa"/>
              <w:right w:w="120" w:type="dxa"/>
            </w:tcMar>
            <w:vAlign w:val="center"/>
          </w:tcPr>
          <w:p w14:paraId="0F803D22" w14:textId="77777777" w:rsidR="0059636C" w:rsidRDefault="00000000" w:rsidP="0059636C">
            <w:pPr>
              <w:spacing w:line="276" w:lineRule="auto"/>
              <w:jc w:val="center"/>
              <w:rPr>
                <w:rFonts w:asciiTheme="majorHAnsi" w:hAnsiTheme="majorHAnsi" w:cstheme="majorHAnsi"/>
                <w:color w:val="1A1A1A"/>
                <w:sz w:val="18"/>
                <w:szCs w:val="18"/>
              </w:rPr>
            </w:pPr>
            <w:r w:rsidRPr="0059636C">
              <w:rPr>
                <w:rFonts w:asciiTheme="majorHAnsi" w:hAnsiTheme="majorHAnsi" w:cstheme="majorHAnsi"/>
                <w:color w:val="1A1A1A"/>
                <w:sz w:val="18"/>
                <w:szCs w:val="18"/>
              </w:rPr>
              <w:t>Año 3</w:t>
            </w:r>
          </w:p>
          <w:p w14:paraId="0EB665CD" w14:textId="45B6089C"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(régimen pleno)</w:t>
            </w:r>
          </w:p>
        </w:tc>
        <w:tc>
          <w:tcPr>
            <w:tcW w:w="1842" w:type="dxa"/>
            <w:shd w:val="clear" w:color="auto" w:fill="FFFFFF"/>
            <w:tcMar>
              <w:top w:w="80" w:type="dxa"/>
              <w:left w:w="120" w:type="dxa"/>
              <w:bottom w:w="80" w:type="dxa"/>
              <w:right w:w="120" w:type="dxa"/>
            </w:tcMar>
            <w:vAlign w:val="center"/>
          </w:tcPr>
          <w:p w14:paraId="066C1084"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129.000</w:t>
            </w:r>
          </w:p>
        </w:tc>
        <w:tc>
          <w:tcPr>
            <w:tcW w:w="1985" w:type="dxa"/>
            <w:shd w:val="clear" w:color="auto" w:fill="FFFFFF"/>
            <w:tcMar>
              <w:top w:w="80" w:type="dxa"/>
              <w:left w:w="120" w:type="dxa"/>
              <w:bottom w:w="80" w:type="dxa"/>
              <w:right w:w="120" w:type="dxa"/>
            </w:tcMar>
            <w:vAlign w:val="center"/>
          </w:tcPr>
          <w:p w14:paraId="7AC23D6A"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$1.535.000</w:t>
            </w:r>
          </w:p>
        </w:tc>
        <w:tc>
          <w:tcPr>
            <w:tcW w:w="1984" w:type="dxa"/>
            <w:shd w:val="clear" w:color="auto" w:fill="FFFFFF"/>
            <w:tcMar>
              <w:top w:w="80" w:type="dxa"/>
              <w:left w:w="120" w:type="dxa"/>
              <w:bottom w:w="80" w:type="dxa"/>
              <w:right w:w="120" w:type="dxa"/>
            </w:tcMar>
            <w:vAlign w:val="center"/>
          </w:tcPr>
          <w:p w14:paraId="08BB04D2"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$7.921 millones</w:t>
            </w:r>
          </w:p>
        </w:tc>
        <w:tc>
          <w:tcPr>
            <w:tcW w:w="1701" w:type="dxa"/>
            <w:shd w:val="clear" w:color="auto" w:fill="FFFFFF"/>
            <w:tcMar>
              <w:top w:w="80" w:type="dxa"/>
              <w:left w:w="120" w:type="dxa"/>
              <w:bottom w:w="80" w:type="dxa"/>
              <w:right w:w="120" w:type="dxa"/>
            </w:tcMar>
            <w:vAlign w:val="center"/>
          </w:tcPr>
          <w:p w14:paraId="09B4A2C4"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$95.052 millones</w:t>
            </w:r>
          </w:p>
        </w:tc>
      </w:tr>
    </w:tbl>
    <w:p w14:paraId="10D63D65"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05FE029E"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Estos recursos adicionales se depositan en las cuentas de capitalización individual de los trabajadores, no constituyen gasto fiscal. La distribución empleador/trabajador es 50/50, pero en muchos contratos colectivos mineros el empleador ha asumido ambas cotizaciones, por lo que el impacto real sobre el bolsillo del trabajador es neutro o positivo.</w:t>
      </w:r>
    </w:p>
    <w:p w14:paraId="7CB72057"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1860AB9C"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b/>
          <w:bCs/>
          <w:color w:val="1A1A1A"/>
          <w:sz w:val="20"/>
          <w:szCs w:val="20"/>
        </w:rPr>
        <w:t xml:space="preserve">Cotización reducida al 1%+1%: </w:t>
      </w:r>
      <w:r w:rsidRPr="00377CFD">
        <w:rPr>
          <w:rFonts w:asciiTheme="majorHAnsi" w:hAnsiTheme="majorHAnsi" w:cstheme="majorHAnsi"/>
          <w:color w:val="1A1A1A"/>
          <w:sz w:val="20"/>
          <w:szCs w:val="20"/>
        </w:rPr>
        <w:t>Para trabajadores que concurran en 2 o más factores objetivos (se estima el 65% de los calificados automáticamente), la cotización se reducirá al 1%+1%. Esto no es un perjuicio, sino el reconocimiento de que el sistema está diseñado para compensar el desgaste adicional, y cuando las condiciones mejoran parcialmente, la cotización disminuye. La reducción automática al 1% beneficia al trabajador en liquidez mensual y al empleador en costos, incentivando la inscripción voluntaria.</w:t>
      </w:r>
    </w:p>
    <w:p w14:paraId="4FA438D7"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576F550D" w14:textId="77777777" w:rsidR="0059636C" w:rsidRDefault="0059636C">
      <w:pPr>
        <w:rPr>
          <w:rFonts w:asciiTheme="majorHAnsi" w:hAnsiTheme="majorHAnsi" w:cstheme="majorHAnsi"/>
          <w:b/>
          <w:bCs/>
          <w:color w:val="1B3A5C"/>
          <w:sz w:val="20"/>
          <w:szCs w:val="20"/>
        </w:rPr>
      </w:pPr>
      <w:r>
        <w:rPr>
          <w:rFonts w:asciiTheme="majorHAnsi" w:hAnsiTheme="majorHAnsi" w:cstheme="majorHAnsi"/>
          <w:sz w:val="20"/>
          <w:szCs w:val="20"/>
        </w:rPr>
        <w:br w:type="page"/>
      </w:r>
    </w:p>
    <w:p w14:paraId="6A2580A5" w14:textId="09CEA3D2" w:rsidR="008D3AF5" w:rsidRDefault="00000000" w:rsidP="004726E2">
      <w:pPr>
        <w:pStyle w:val="Ttulo3"/>
        <w:jc w:val="both"/>
        <w:rPr>
          <w:rFonts w:asciiTheme="majorHAnsi" w:hAnsiTheme="majorHAnsi" w:cstheme="majorHAnsi"/>
          <w:sz w:val="20"/>
          <w:szCs w:val="20"/>
        </w:rPr>
      </w:pPr>
      <w:bookmarkStart w:id="19" w:name="_Toc228400947"/>
      <w:r w:rsidRPr="00377CFD">
        <w:rPr>
          <w:rFonts w:asciiTheme="majorHAnsi" w:hAnsiTheme="majorHAnsi" w:cstheme="majorHAnsi"/>
          <w:sz w:val="20"/>
          <w:szCs w:val="20"/>
        </w:rPr>
        <w:lastRenderedPageBreak/>
        <w:t>5.2.2 Efecto sobre la edad de pensión — Art. 68 bis D.L. 3.500 y Art. 2° Ley 19.404</w:t>
      </w:r>
      <w:bookmarkEnd w:id="19"/>
    </w:p>
    <w:p w14:paraId="3086D830" w14:textId="77777777" w:rsidR="0059636C" w:rsidRPr="0059636C" w:rsidRDefault="0059636C" w:rsidP="0059636C"/>
    <w:tbl>
      <w:tblPr>
        <w:tblStyle w:val="af2"/>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552"/>
        <w:gridCol w:w="3110"/>
        <w:gridCol w:w="1860"/>
      </w:tblGrid>
      <w:tr w:rsidR="008D3AF5" w:rsidRPr="00377CFD" w14:paraId="4151F2B2" w14:textId="77777777" w:rsidTr="00BC3271">
        <w:trPr>
          <w:trHeight w:val="457"/>
        </w:trPr>
        <w:tc>
          <w:tcPr>
            <w:tcW w:w="1838" w:type="dxa"/>
            <w:shd w:val="clear" w:color="auto" w:fill="1B3A5C"/>
            <w:tcMar>
              <w:top w:w="80" w:type="dxa"/>
              <w:left w:w="120" w:type="dxa"/>
              <w:bottom w:w="80" w:type="dxa"/>
              <w:right w:w="120" w:type="dxa"/>
            </w:tcMar>
            <w:vAlign w:val="center"/>
          </w:tcPr>
          <w:p w14:paraId="3BC53367"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Régimen previsional</w:t>
            </w:r>
          </w:p>
        </w:tc>
        <w:tc>
          <w:tcPr>
            <w:tcW w:w="2552" w:type="dxa"/>
            <w:shd w:val="clear" w:color="auto" w:fill="1B3A5C"/>
            <w:tcMar>
              <w:top w:w="80" w:type="dxa"/>
              <w:left w:w="120" w:type="dxa"/>
              <w:bottom w:w="80" w:type="dxa"/>
              <w:right w:w="120" w:type="dxa"/>
            </w:tcMar>
            <w:vAlign w:val="center"/>
          </w:tcPr>
          <w:p w14:paraId="1751BAC1"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Regla aplicable</w:t>
            </w:r>
          </w:p>
        </w:tc>
        <w:tc>
          <w:tcPr>
            <w:tcW w:w="3110" w:type="dxa"/>
            <w:shd w:val="clear" w:color="auto" w:fill="1B3A5C"/>
            <w:tcMar>
              <w:top w:w="80" w:type="dxa"/>
              <w:left w:w="120" w:type="dxa"/>
              <w:bottom w:w="80" w:type="dxa"/>
              <w:right w:w="120" w:type="dxa"/>
            </w:tcMar>
            <w:vAlign w:val="center"/>
          </w:tcPr>
          <w:p w14:paraId="6EE30048" w14:textId="77777777" w:rsidR="0059636C" w:rsidRDefault="00000000" w:rsidP="0059636C">
            <w:pPr>
              <w:spacing w:line="276" w:lineRule="auto"/>
              <w:jc w:val="center"/>
              <w:rPr>
                <w:rFonts w:asciiTheme="majorHAnsi" w:hAnsiTheme="majorHAnsi" w:cstheme="majorHAnsi"/>
                <w:b/>
                <w:bCs/>
                <w:color w:val="FFFFFF"/>
                <w:sz w:val="18"/>
                <w:szCs w:val="18"/>
              </w:rPr>
            </w:pPr>
            <w:r w:rsidRPr="0059636C">
              <w:rPr>
                <w:rFonts w:asciiTheme="majorHAnsi" w:hAnsiTheme="majorHAnsi" w:cstheme="majorHAnsi"/>
                <w:b/>
                <w:bCs/>
                <w:color w:val="FFFFFF"/>
                <w:sz w:val="18"/>
                <w:szCs w:val="18"/>
              </w:rPr>
              <w:t>Cálculo ejemplo</w:t>
            </w:r>
          </w:p>
          <w:p w14:paraId="35764AC4" w14:textId="158EAB91"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(20 años en trabajo pesado minero)</w:t>
            </w:r>
          </w:p>
        </w:tc>
        <w:tc>
          <w:tcPr>
            <w:tcW w:w="1860" w:type="dxa"/>
            <w:shd w:val="clear" w:color="auto" w:fill="1B3A5C"/>
            <w:tcMar>
              <w:top w:w="80" w:type="dxa"/>
              <w:left w:w="120" w:type="dxa"/>
              <w:bottom w:w="80" w:type="dxa"/>
              <w:right w:w="120" w:type="dxa"/>
            </w:tcMar>
            <w:vAlign w:val="center"/>
          </w:tcPr>
          <w:p w14:paraId="161F1414" w14:textId="77777777" w:rsidR="008D3AF5" w:rsidRPr="0059636C" w:rsidRDefault="00000000" w:rsidP="0059636C">
            <w:pPr>
              <w:spacing w:line="276" w:lineRule="auto"/>
              <w:jc w:val="center"/>
              <w:rPr>
                <w:rFonts w:asciiTheme="majorHAnsi" w:hAnsiTheme="majorHAnsi" w:cstheme="majorHAnsi"/>
                <w:sz w:val="18"/>
                <w:szCs w:val="18"/>
              </w:rPr>
            </w:pPr>
            <w:r w:rsidRPr="0059636C">
              <w:rPr>
                <w:rFonts w:asciiTheme="majorHAnsi" w:hAnsiTheme="majorHAnsi" w:cstheme="majorHAnsi"/>
                <w:b/>
                <w:bCs/>
                <w:color w:val="FFFFFF"/>
                <w:sz w:val="18"/>
                <w:szCs w:val="18"/>
              </w:rPr>
              <w:t>Observaciones</w:t>
            </w:r>
          </w:p>
        </w:tc>
      </w:tr>
      <w:tr w:rsidR="008D3AF5" w:rsidRPr="00377CFD" w14:paraId="234937D9" w14:textId="77777777" w:rsidTr="00BC3271">
        <w:tc>
          <w:tcPr>
            <w:tcW w:w="1838" w:type="dxa"/>
            <w:shd w:val="clear" w:color="auto" w:fill="FFFFFF"/>
            <w:tcMar>
              <w:top w:w="80" w:type="dxa"/>
              <w:left w:w="120" w:type="dxa"/>
              <w:bottom w:w="80" w:type="dxa"/>
              <w:right w:w="120" w:type="dxa"/>
            </w:tcMar>
            <w:vAlign w:val="center"/>
          </w:tcPr>
          <w:p w14:paraId="1961FB0D" w14:textId="77777777" w:rsidR="0059636C"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AFP (D.L. 3.500)</w:t>
            </w:r>
          </w:p>
          <w:p w14:paraId="7FD86FAD" w14:textId="5EE8E0A9"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cotización 2%</w:t>
            </w:r>
          </w:p>
        </w:tc>
        <w:tc>
          <w:tcPr>
            <w:tcW w:w="2552" w:type="dxa"/>
            <w:shd w:val="clear" w:color="auto" w:fill="FFFFFF"/>
            <w:tcMar>
              <w:top w:w="80" w:type="dxa"/>
              <w:left w:w="120" w:type="dxa"/>
              <w:bottom w:w="80" w:type="dxa"/>
              <w:right w:w="120" w:type="dxa"/>
            </w:tcMar>
            <w:vAlign w:val="center"/>
          </w:tcPr>
          <w:p w14:paraId="2D4137F6"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Art. 68 bis: 2 años rebaja por cada 5 años cotizando al 2%</w:t>
            </w:r>
          </w:p>
        </w:tc>
        <w:tc>
          <w:tcPr>
            <w:tcW w:w="3110" w:type="dxa"/>
            <w:shd w:val="clear" w:color="auto" w:fill="FFFFFF"/>
            <w:tcMar>
              <w:top w:w="80" w:type="dxa"/>
              <w:left w:w="120" w:type="dxa"/>
              <w:bottom w:w="80" w:type="dxa"/>
              <w:right w:w="120" w:type="dxa"/>
            </w:tcMar>
            <w:vAlign w:val="center"/>
          </w:tcPr>
          <w:p w14:paraId="53919EC3" w14:textId="77777777" w:rsidR="00A16167"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20 años ÷ 5 = 4 períodos × 2 = 8 años de anticipación.</w:t>
            </w:r>
          </w:p>
          <w:p w14:paraId="18BDF0D4" w14:textId="77777777" w:rsidR="008D3AF5"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Edad pensión hombre: 65 - 8 = 57 años.</w:t>
            </w:r>
          </w:p>
          <w:p w14:paraId="3A0C9270" w14:textId="49F341B0" w:rsidR="00A16167" w:rsidRPr="0059636C" w:rsidRDefault="00A16167" w:rsidP="004726E2">
            <w:pPr>
              <w:spacing w:line="276" w:lineRule="auto"/>
              <w:jc w:val="both"/>
              <w:rPr>
                <w:rFonts w:asciiTheme="majorHAnsi" w:hAnsiTheme="majorHAnsi" w:cstheme="majorHAnsi"/>
                <w:sz w:val="18"/>
                <w:szCs w:val="18"/>
              </w:rPr>
            </w:pPr>
            <w:r>
              <w:rPr>
                <w:rFonts w:asciiTheme="majorHAnsi" w:hAnsiTheme="majorHAnsi" w:cstheme="majorHAnsi"/>
                <w:color w:val="1A1A1A"/>
                <w:sz w:val="18"/>
                <w:szCs w:val="18"/>
              </w:rPr>
              <w:t>Edad pensión mujer: 60 - 8 = 52 años</w:t>
            </w:r>
          </w:p>
        </w:tc>
        <w:tc>
          <w:tcPr>
            <w:tcW w:w="1860" w:type="dxa"/>
            <w:shd w:val="clear" w:color="auto" w:fill="FFFFFF"/>
            <w:tcMar>
              <w:top w:w="80" w:type="dxa"/>
              <w:left w:w="120" w:type="dxa"/>
              <w:bottom w:w="80" w:type="dxa"/>
              <w:right w:w="120" w:type="dxa"/>
            </w:tcMar>
            <w:vAlign w:val="center"/>
          </w:tcPr>
          <w:p w14:paraId="0F5AA3C3" w14:textId="77777777" w:rsidR="008D3AF5" w:rsidRPr="0059636C" w:rsidRDefault="00000000" w:rsidP="00A16167">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Máximo 10 años de rebaja. Requiere 20 años de cotizaciones totales.</w:t>
            </w:r>
          </w:p>
        </w:tc>
      </w:tr>
      <w:tr w:rsidR="008D3AF5" w:rsidRPr="00377CFD" w14:paraId="4D887F19" w14:textId="77777777" w:rsidTr="00BC3271">
        <w:tc>
          <w:tcPr>
            <w:tcW w:w="1838" w:type="dxa"/>
            <w:shd w:val="clear" w:color="auto" w:fill="EAF2F8"/>
            <w:tcMar>
              <w:top w:w="80" w:type="dxa"/>
              <w:left w:w="120" w:type="dxa"/>
              <w:bottom w:w="80" w:type="dxa"/>
              <w:right w:w="120" w:type="dxa"/>
            </w:tcMar>
            <w:vAlign w:val="center"/>
          </w:tcPr>
          <w:p w14:paraId="483299CA" w14:textId="77777777" w:rsidR="0059636C"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AFP (D.L. 3.500)</w:t>
            </w:r>
          </w:p>
          <w:p w14:paraId="4AF048A9" w14:textId="5842C5E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cotización 1%</w:t>
            </w:r>
          </w:p>
        </w:tc>
        <w:tc>
          <w:tcPr>
            <w:tcW w:w="2552" w:type="dxa"/>
            <w:shd w:val="clear" w:color="auto" w:fill="EAF2F8"/>
            <w:tcMar>
              <w:top w:w="80" w:type="dxa"/>
              <w:left w:w="120" w:type="dxa"/>
              <w:bottom w:w="80" w:type="dxa"/>
              <w:right w:w="120" w:type="dxa"/>
            </w:tcMar>
            <w:vAlign w:val="center"/>
          </w:tcPr>
          <w:p w14:paraId="7F206A82"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Art. 68 bis: 1 año rebaja por cada 5 años cotizando al 1%</w:t>
            </w:r>
          </w:p>
        </w:tc>
        <w:tc>
          <w:tcPr>
            <w:tcW w:w="3110" w:type="dxa"/>
            <w:shd w:val="clear" w:color="auto" w:fill="EAF2F8"/>
            <w:tcMar>
              <w:top w:w="80" w:type="dxa"/>
              <w:left w:w="120" w:type="dxa"/>
              <w:bottom w:w="80" w:type="dxa"/>
              <w:right w:w="120" w:type="dxa"/>
            </w:tcMar>
            <w:vAlign w:val="center"/>
          </w:tcPr>
          <w:p w14:paraId="1E1F89BD" w14:textId="77777777" w:rsidR="00A16167"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20 años ÷ 5 = 4 períodos × 1 = 4 años de anticipación.</w:t>
            </w:r>
          </w:p>
          <w:p w14:paraId="4E30DB54" w14:textId="77777777" w:rsidR="008D3AF5"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Edad pensión hombre: 65 - 4 = 61 años.</w:t>
            </w:r>
          </w:p>
          <w:p w14:paraId="19A30BBE" w14:textId="00B01FA5" w:rsidR="00A16167" w:rsidRPr="0059636C" w:rsidRDefault="00A16167" w:rsidP="004726E2">
            <w:pPr>
              <w:spacing w:line="276" w:lineRule="auto"/>
              <w:jc w:val="both"/>
              <w:rPr>
                <w:rFonts w:asciiTheme="majorHAnsi" w:hAnsiTheme="majorHAnsi" w:cstheme="majorHAnsi"/>
                <w:sz w:val="18"/>
                <w:szCs w:val="18"/>
              </w:rPr>
            </w:pPr>
            <w:r>
              <w:rPr>
                <w:rFonts w:asciiTheme="majorHAnsi" w:hAnsiTheme="majorHAnsi" w:cstheme="majorHAnsi"/>
                <w:color w:val="1A1A1A"/>
                <w:sz w:val="18"/>
                <w:szCs w:val="18"/>
              </w:rPr>
              <w:t>Edad pensión mujer: 60 – 4 = 56 años.</w:t>
            </w:r>
          </w:p>
        </w:tc>
        <w:tc>
          <w:tcPr>
            <w:tcW w:w="1860" w:type="dxa"/>
            <w:shd w:val="clear" w:color="auto" w:fill="EAF2F8"/>
            <w:tcMar>
              <w:top w:w="80" w:type="dxa"/>
              <w:left w:w="120" w:type="dxa"/>
              <w:bottom w:w="80" w:type="dxa"/>
              <w:right w:w="120" w:type="dxa"/>
            </w:tcMar>
            <w:vAlign w:val="center"/>
          </w:tcPr>
          <w:p w14:paraId="1F063E15" w14:textId="77777777" w:rsidR="008D3AF5" w:rsidRPr="0059636C" w:rsidRDefault="00000000" w:rsidP="00A16167">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Máximo 5 años de rebaja. Por eso la cotización al 2% es significativamente más valiosa para el trabajador.</w:t>
            </w:r>
          </w:p>
        </w:tc>
      </w:tr>
      <w:tr w:rsidR="008D3AF5" w:rsidRPr="00377CFD" w14:paraId="0C5F6E0E" w14:textId="77777777" w:rsidTr="00BC3271">
        <w:tc>
          <w:tcPr>
            <w:tcW w:w="1838" w:type="dxa"/>
            <w:shd w:val="clear" w:color="auto" w:fill="FFFFFF"/>
            <w:tcMar>
              <w:top w:w="80" w:type="dxa"/>
              <w:left w:w="120" w:type="dxa"/>
              <w:bottom w:w="80" w:type="dxa"/>
              <w:right w:w="120" w:type="dxa"/>
            </w:tcMar>
            <w:vAlign w:val="center"/>
          </w:tcPr>
          <w:p w14:paraId="6D1745B9" w14:textId="77777777" w:rsidR="00A16167"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IPS/Ex-INP</w:t>
            </w:r>
          </w:p>
          <w:p w14:paraId="0880C943" w14:textId="2309AC9B"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Minas y fundiciones</w:t>
            </w:r>
          </w:p>
        </w:tc>
        <w:tc>
          <w:tcPr>
            <w:tcW w:w="2552" w:type="dxa"/>
            <w:shd w:val="clear" w:color="auto" w:fill="FFFFFF"/>
            <w:tcMar>
              <w:top w:w="80" w:type="dxa"/>
              <w:left w:w="120" w:type="dxa"/>
              <w:bottom w:w="80" w:type="dxa"/>
              <w:right w:w="120" w:type="dxa"/>
            </w:tcMar>
            <w:vAlign w:val="center"/>
          </w:tcPr>
          <w:p w14:paraId="36B8B9EF" w14:textId="77777777" w:rsidR="00A16167"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Art. 2° Ley 19.404 parte final:</w:t>
            </w:r>
          </w:p>
          <w:p w14:paraId="4FB5C763" w14:textId="67C1E282"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2 años por cada 5 años en minas. REGLA ESPECIAL.</w:t>
            </w:r>
          </w:p>
        </w:tc>
        <w:tc>
          <w:tcPr>
            <w:tcW w:w="3110" w:type="dxa"/>
            <w:shd w:val="clear" w:color="auto" w:fill="FFFFFF"/>
            <w:tcMar>
              <w:top w:w="80" w:type="dxa"/>
              <w:left w:w="120" w:type="dxa"/>
              <w:bottom w:w="80" w:type="dxa"/>
              <w:right w:w="120" w:type="dxa"/>
            </w:tcMar>
            <w:vAlign w:val="center"/>
          </w:tcPr>
          <w:p w14:paraId="0BAEF5B6"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20 años ÷ 5 = 4 períodos × 2 = 8 años anticipación + requiere mínimo 23 años cotizaciones totales. Máximo 10 años.</w:t>
            </w:r>
          </w:p>
        </w:tc>
        <w:tc>
          <w:tcPr>
            <w:tcW w:w="1860" w:type="dxa"/>
            <w:shd w:val="clear" w:color="auto" w:fill="FFFFFF"/>
            <w:tcMar>
              <w:top w:w="80" w:type="dxa"/>
              <w:left w:w="120" w:type="dxa"/>
              <w:bottom w:w="80" w:type="dxa"/>
              <w:right w:w="120" w:type="dxa"/>
            </w:tcMar>
            <w:vAlign w:val="center"/>
          </w:tcPr>
          <w:p w14:paraId="7F776331" w14:textId="77777777" w:rsidR="00A16167" w:rsidRDefault="00000000" w:rsidP="00A16167">
            <w:pPr>
              <w:spacing w:line="276" w:lineRule="auto"/>
              <w:jc w:val="center"/>
              <w:rPr>
                <w:rFonts w:asciiTheme="majorHAnsi" w:hAnsiTheme="majorHAnsi" w:cstheme="majorHAnsi"/>
                <w:color w:val="1A1A1A"/>
                <w:sz w:val="18"/>
                <w:szCs w:val="18"/>
              </w:rPr>
            </w:pPr>
            <w:r w:rsidRPr="0059636C">
              <w:rPr>
                <w:rFonts w:asciiTheme="majorHAnsi" w:hAnsiTheme="majorHAnsi" w:cstheme="majorHAnsi"/>
                <w:color w:val="1A1A1A"/>
                <w:sz w:val="18"/>
                <w:szCs w:val="18"/>
              </w:rPr>
              <w:t>Esta regla es la más generosa del sistema. Es aplicable a</w:t>
            </w:r>
          </w:p>
          <w:p w14:paraId="3AD88B93" w14:textId="77777777" w:rsidR="00A16167" w:rsidRDefault="00000000" w:rsidP="00A16167">
            <w:pPr>
              <w:spacing w:line="276" w:lineRule="auto"/>
              <w:jc w:val="center"/>
              <w:rPr>
                <w:rFonts w:asciiTheme="majorHAnsi" w:hAnsiTheme="majorHAnsi" w:cstheme="majorHAnsi"/>
                <w:color w:val="1A1A1A"/>
                <w:sz w:val="18"/>
                <w:szCs w:val="18"/>
              </w:rPr>
            </w:pPr>
            <w:r w:rsidRPr="0059636C">
              <w:rPr>
                <w:rFonts w:asciiTheme="majorHAnsi" w:hAnsiTheme="majorHAnsi" w:cstheme="majorHAnsi"/>
                <w:color w:val="1A1A1A"/>
                <w:sz w:val="18"/>
                <w:szCs w:val="18"/>
              </w:rPr>
              <w:t>trabajadores IPS que no cuentan con</w:t>
            </w:r>
          </w:p>
          <w:p w14:paraId="52150B4D" w14:textId="46D5A965" w:rsidR="008D3AF5" w:rsidRPr="0059636C" w:rsidRDefault="00000000" w:rsidP="00A16167">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 xml:space="preserve">capitalización </w:t>
            </w:r>
            <w:r w:rsidR="00A16167">
              <w:rPr>
                <w:rFonts w:asciiTheme="majorHAnsi" w:hAnsiTheme="majorHAnsi" w:cstheme="majorHAnsi"/>
                <w:color w:val="1A1A1A"/>
                <w:sz w:val="18"/>
                <w:szCs w:val="18"/>
              </w:rPr>
              <w:t>i</w:t>
            </w:r>
            <w:r w:rsidRPr="0059636C">
              <w:rPr>
                <w:rFonts w:asciiTheme="majorHAnsi" w:hAnsiTheme="majorHAnsi" w:cstheme="majorHAnsi"/>
                <w:color w:val="1A1A1A"/>
                <w:sz w:val="18"/>
                <w:szCs w:val="18"/>
              </w:rPr>
              <w:t>ndividual.</w:t>
            </w:r>
          </w:p>
        </w:tc>
      </w:tr>
      <w:tr w:rsidR="008D3AF5" w:rsidRPr="00377CFD" w14:paraId="43866389" w14:textId="77777777" w:rsidTr="00BC3271">
        <w:tc>
          <w:tcPr>
            <w:tcW w:w="1838" w:type="dxa"/>
            <w:shd w:val="clear" w:color="auto" w:fill="EAF2F8"/>
            <w:tcMar>
              <w:top w:w="80" w:type="dxa"/>
              <w:left w:w="120" w:type="dxa"/>
              <w:bottom w:w="80" w:type="dxa"/>
              <w:right w:w="120" w:type="dxa"/>
            </w:tcMar>
            <w:vAlign w:val="center"/>
          </w:tcPr>
          <w:p w14:paraId="568DC5D0" w14:textId="77777777" w:rsidR="00A16167"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IPS/Ex-INP</w:t>
            </w:r>
          </w:p>
          <w:p w14:paraId="440DC3D6" w14:textId="076B3A52"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Regla general</w:t>
            </w:r>
          </w:p>
        </w:tc>
        <w:tc>
          <w:tcPr>
            <w:tcW w:w="2552" w:type="dxa"/>
            <w:shd w:val="clear" w:color="auto" w:fill="EAF2F8"/>
            <w:tcMar>
              <w:top w:w="80" w:type="dxa"/>
              <w:left w:w="120" w:type="dxa"/>
              <w:bottom w:w="80" w:type="dxa"/>
              <w:right w:w="120" w:type="dxa"/>
            </w:tcMar>
            <w:vAlign w:val="center"/>
          </w:tcPr>
          <w:p w14:paraId="5F1EBDC9" w14:textId="7777777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Art. 2° Ley 19.404 inc. 1°: 1 año por cada 5 años de trabajo pesado.</w:t>
            </w:r>
          </w:p>
        </w:tc>
        <w:tc>
          <w:tcPr>
            <w:tcW w:w="3110" w:type="dxa"/>
            <w:shd w:val="clear" w:color="auto" w:fill="EAF2F8"/>
            <w:tcMar>
              <w:top w:w="80" w:type="dxa"/>
              <w:left w:w="120" w:type="dxa"/>
              <w:bottom w:w="80" w:type="dxa"/>
              <w:right w:w="120" w:type="dxa"/>
            </w:tcMar>
            <w:vAlign w:val="center"/>
          </w:tcPr>
          <w:p w14:paraId="0D31FBFB" w14:textId="77777777" w:rsidR="00A16167" w:rsidRDefault="00000000" w:rsidP="004726E2">
            <w:pPr>
              <w:spacing w:line="276" w:lineRule="auto"/>
              <w:jc w:val="both"/>
              <w:rPr>
                <w:rFonts w:asciiTheme="majorHAnsi" w:hAnsiTheme="majorHAnsi" w:cstheme="majorHAnsi"/>
                <w:color w:val="1A1A1A"/>
                <w:sz w:val="18"/>
                <w:szCs w:val="18"/>
              </w:rPr>
            </w:pPr>
            <w:r w:rsidRPr="0059636C">
              <w:rPr>
                <w:rFonts w:asciiTheme="majorHAnsi" w:hAnsiTheme="majorHAnsi" w:cstheme="majorHAnsi"/>
                <w:color w:val="1A1A1A"/>
                <w:sz w:val="18"/>
                <w:szCs w:val="18"/>
              </w:rPr>
              <w:t>20 años ÷ 5 = 4 períodos × 1 = 4 años anticipación.</w:t>
            </w:r>
          </w:p>
          <w:p w14:paraId="3963A814" w14:textId="519C7AB7" w:rsidR="008D3AF5" w:rsidRPr="0059636C" w:rsidRDefault="00000000" w:rsidP="004726E2">
            <w:pPr>
              <w:spacing w:line="276" w:lineRule="auto"/>
              <w:jc w:val="both"/>
              <w:rPr>
                <w:rFonts w:asciiTheme="majorHAnsi" w:hAnsiTheme="majorHAnsi" w:cstheme="majorHAnsi"/>
                <w:sz w:val="18"/>
                <w:szCs w:val="18"/>
              </w:rPr>
            </w:pPr>
            <w:r w:rsidRPr="0059636C">
              <w:rPr>
                <w:rFonts w:asciiTheme="majorHAnsi" w:hAnsiTheme="majorHAnsi" w:cstheme="majorHAnsi"/>
                <w:color w:val="1A1A1A"/>
                <w:sz w:val="18"/>
                <w:szCs w:val="18"/>
              </w:rPr>
              <w:t>Requiere 23 años cotizaciones.</w:t>
            </w:r>
          </w:p>
        </w:tc>
        <w:tc>
          <w:tcPr>
            <w:tcW w:w="1860" w:type="dxa"/>
            <w:shd w:val="clear" w:color="auto" w:fill="EAF2F8"/>
            <w:tcMar>
              <w:top w:w="80" w:type="dxa"/>
              <w:left w:w="120" w:type="dxa"/>
              <w:bottom w:w="80" w:type="dxa"/>
              <w:right w:w="120" w:type="dxa"/>
            </w:tcMar>
            <w:vAlign w:val="center"/>
          </w:tcPr>
          <w:p w14:paraId="3F33DBDC" w14:textId="77777777" w:rsidR="008D3AF5" w:rsidRPr="0059636C" w:rsidRDefault="00000000" w:rsidP="00A16167">
            <w:pPr>
              <w:spacing w:line="276" w:lineRule="auto"/>
              <w:jc w:val="center"/>
              <w:rPr>
                <w:rFonts w:asciiTheme="majorHAnsi" w:hAnsiTheme="majorHAnsi" w:cstheme="majorHAnsi"/>
                <w:sz w:val="18"/>
                <w:szCs w:val="18"/>
              </w:rPr>
            </w:pPr>
            <w:r w:rsidRPr="0059636C">
              <w:rPr>
                <w:rFonts w:asciiTheme="majorHAnsi" w:hAnsiTheme="majorHAnsi" w:cstheme="majorHAnsi"/>
                <w:color w:val="1A1A1A"/>
                <w:sz w:val="18"/>
                <w:szCs w:val="18"/>
              </w:rPr>
              <w:t>Aplica para trabajos pesados no mineros o trabajadores IPS que no califiquen para la regla especial.</w:t>
            </w:r>
          </w:p>
        </w:tc>
      </w:tr>
    </w:tbl>
    <w:p w14:paraId="15A545BB"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0070CAF0"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reforma amplía drásticamente el número de trabajadores que acceden a estas rebajas de edad. Para los 129.000 trabajadores en la brecha, la diferencia puede ser de 4 a 8 años de pensión anticipada, con todo lo que ello implica para la calidad de vida en la vejez de trabajadores que han ejecutado labores de alta exigencia física desde edades tempranas.</w:t>
      </w:r>
    </w:p>
    <w:p w14:paraId="02260EEA"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681A1AC5" w14:textId="77777777" w:rsidR="0059636C" w:rsidRDefault="0059636C">
      <w:pPr>
        <w:rPr>
          <w:rFonts w:asciiTheme="majorHAnsi" w:hAnsiTheme="majorHAnsi" w:cstheme="majorHAnsi"/>
          <w:b/>
          <w:bCs/>
          <w:color w:val="2E6DA4"/>
          <w:sz w:val="20"/>
          <w:szCs w:val="20"/>
        </w:rPr>
      </w:pPr>
      <w:r>
        <w:rPr>
          <w:rFonts w:asciiTheme="majorHAnsi" w:hAnsiTheme="majorHAnsi" w:cstheme="majorHAnsi"/>
          <w:sz w:val="20"/>
          <w:szCs w:val="20"/>
        </w:rPr>
        <w:br w:type="page"/>
      </w:r>
    </w:p>
    <w:p w14:paraId="0916E38E" w14:textId="651EC28A" w:rsidR="008D3AF5" w:rsidRPr="00377CFD" w:rsidRDefault="00000000" w:rsidP="004726E2">
      <w:pPr>
        <w:pStyle w:val="Ttulo2"/>
        <w:jc w:val="both"/>
        <w:rPr>
          <w:rFonts w:asciiTheme="majorHAnsi" w:hAnsiTheme="majorHAnsi" w:cstheme="majorHAnsi"/>
          <w:sz w:val="20"/>
          <w:szCs w:val="20"/>
        </w:rPr>
      </w:pPr>
      <w:bookmarkStart w:id="20" w:name="_Toc228400948"/>
      <w:r w:rsidRPr="00377CFD">
        <w:rPr>
          <w:rFonts w:asciiTheme="majorHAnsi" w:hAnsiTheme="majorHAnsi" w:cstheme="majorHAnsi"/>
          <w:sz w:val="20"/>
          <w:szCs w:val="20"/>
        </w:rPr>
        <w:lastRenderedPageBreak/>
        <w:t>5.3 Eficiencia Operativa: Tiempo Administrativo y Litigios</w:t>
      </w:r>
      <w:bookmarkEnd w:id="20"/>
    </w:p>
    <w:tbl>
      <w:tblPr>
        <w:tblStyle w:val="af3"/>
        <w:tblW w:w="920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559"/>
        <w:gridCol w:w="2977"/>
        <w:gridCol w:w="1701"/>
      </w:tblGrid>
      <w:tr w:rsidR="008D3AF5" w:rsidRPr="00377CFD" w14:paraId="0C229B51" w14:textId="77777777" w:rsidTr="00BC3271">
        <w:tc>
          <w:tcPr>
            <w:tcW w:w="2972" w:type="dxa"/>
            <w:shd w:val="clear" w:color="auto" w:fill="1B3A5C"/>
            <w:tcMar>
              <w:top w:w="80" w:type="dxa"/>
              <w:left w:w="120" w:type="dxa"/>
              <w:bottom w:w="80" w:type="dxa"/>
              <w:right w:w="120" w:type="dxa"/>
            </w:tcMar>
            <w:vAlign w:val="center"/>
          </w:tcPr>
          <w:p w14:paraId="4E247492" w14:textId="77777777" w:rsidR="008D3AF5" w:rsidRPr="00BC3271" w:rsidRDefault="00000000" w:rsidP="00BC3271">
            <w:pPr>
              <w:spacing w:line="276" w:lineRule="auto"/>
              <w:jc w:val="center"/>
              <w:rPr>
                <w:rFonts w:asciiTheme="majorHAnsi" w:hAnsiTheme="majorHAnsi" w:cstheme="majorHAnsi"/>
                <w:sz w:val="18"/>
                <w:szCs w:val="18"/>
              </w:rPr>
            </w:pPr>
            <w:r w:rsidRPr="00BC3271">
              <w:rPr>
                <w:rFonts w:asciiTheme="majorHAnsi" w:hAnsiTheme="majorHAnsi" w:cstheme="majorHAnsi"/>
                <w:b/>
                <w:bCs/>
                <w:color w:val="FFFFFF"/>
                <w:sz w:val="18"/>
                <w:szCs w:val="18"/>
              </w:rPr>
              <w:t>Indicador</w:t>
            </w:r>
          </w:p>
        </w:tc>
        <w:tc>
          <w:tcPr>
            <w:tcW w:w="1559" w:type="dxa"/>
            <w:shd w:val="clear" w:color="auto" w:fill="1B3A5C"/>
            <w:tcMar>
              <w:top w:w="80" w:type="dxa"/>
              <w:left w:w="120" w:type="dxa"/>
              <w:bottom w:w="80" w:type="dxa"/>
              <w:right w:w="120" w:type="dxa"/>
            </w:tcMar>
            <w:vAlign w:val="center"/>
          </w:tcPr>
          <w:p w14:paraId="6798D628" w14:textId="77777777" w:rsidR="008D3AF5" w:rsidRPr="00BC3271" w:rsidRDefault="00000000" w:rsidP="00BC3271">
            <w:pPr>
              <w:spacing w:line="276" w:lineRule="auto"/>
              <w:jc w:val="center"/>
              <w:rPr>
                <w:rFonts w:asciiTheme="majorHAnsi" w:hAnsiTheme="majorHAnsi" w:cstheme="majorHAnsi"/>
                <w:sz w:val="18"/>
                <w:szCs w:val="18"/>
              </w:rPr>
            </w:pPr>
            <w:r w:rsidRPr="00BC3271">
              <w:rPr>
                <w:rFonts w:asciiTheme="majorHAnsi" w:hAnsiTheme="majorHAnsi" w:cstheme="majorHAnsi"/>
                <w:b/>
                <w:bCs/>
                <w:color w:val="FFFFFF"/>
                <w:sz w:val="18"/>
                <w:szCs w:val="18"/>
              </w:rPr>
              <w:t>Sistema actual (estimado)</w:t>
            </w:r>
          </w:p>
        </w:tc>
        <w:tc>
          <w:tcPr>
            <w:tcW w:w="2977" w:type="dxa"/>
            <w:shd w:val="clear" w:color="auto" w:fill="1B3A5C"/>
            <w:tcMar>
              <w:top w:w="80" w:type="dxa"/>
              <w:left w:w="120" w:type="dxa"/>
              <w:bottom w:w="80" w:type="dxa"/>
              <w:right w:w="120" w:type="dxa"/>
            </w:tcMar>
            <w:vAlign w:val="center"/>
          </w:tcPr>
          <w:p w14:paraId="6D5CAA73" w14:textId="77777777" w:rsidR="008D3AF5" w:rsidRPr="00BC3271" w:rsidRDefault="00000000" w:rsidP="00BC3271">
            <w:pPr>
              <w:spacing w:line="276" w:lineRule="auto"/>
              <w:jc w:val="center"/>
              <w:rPr>
                <w:rFonts w:asciiTheme="majorHAnsi" w:hAnsiTheme="majorHAnsi" w:cstheme="majorHAnsi"/>
                <w:sz w:val="18"/>
                <w:szCs w:val="18"/>
              </w:rPr>
            </w:pPr>
            <w:r w:rsidRPr="00BC3271">
              <w:rPr>
                <w:rFonts w:asciiTheme="majorHAnsi" w:hAnsiTheme="majorHAnsi" w:cstheme="majorHAnsi"/>
                <w:b/>
                <w:bCs/>
                <w:color w:val="FFFFFF"/>
                <w:sz w:val="18"/>
                <w:szCs w:val="18"/>
              </w:rPr>
              <w:t>Sistema RENAPMA (proyectado)</w:t>
            </w:r>
          </w:p>
        </w:tc>
        <w:tc>
          <w:tcPr>
            <w:tcW w:w="1701" w:type="dxa"/>
            <w:shd w:val="clear" w:color="auto" w:fill="1B3A5C"/>
            <w:tcMar>
              <w:top w:w="80" w:type="dxa"/>
              <w:left w:w="120" w:type="dxa"/>
              <w:bottom w:w="80" w:type="dxa"/>
              <w:right w:w="120" w:type="dxa"/>
            </w:tcMar>
            <w:vAlign w:val="center"/>
          </w:tcPr>
          <w:p w14:paraId="1703E987" w14:textId="77777777" w:rsidR="008D3AF5" w:rsidRPr="00BC3271" w:rsidRDefault="00000000" w:rsidP="00BC3271">
            <w:pPr>
              <w:spacing w:line="276" w:lineRule="auto"/>
              <w:jc w:val="center"/>
              <w:rPr>
                <w:rFonts w:asciiTheme="majorHAnsi" w:hAnsiTheme="majorHAnsi" w:cstheme="majorHAnsi"/>
                <w:sz w:val="18"/>
                <w:szCs w:val="18"/>
              </w:rPr>
            </w:pPr>
            <w:r w:rsidRPr="00BC3271">
              <w:rPr>
                <w:rFonts w:asciiTheme="majorHAnsi" w:hAnsiTheme="majorHAnsi" w:cstheme="majorHAnsi"/>
                <w:b/>
                <w:bCs/>
                <w:color w:val="FFFFFF"/>
                <w:sz w:val="18"/>
                <w:szCs w:val="18"/>
              </w:rPr>
              <w:t>Reducción estimada</w:t>
            </w:r>
          </w:p>
        </w:tc>
      </w:tr>
      <w:tr w:rsidR="008D3AF5" w:rsidRPr="00377CFD" w14:paraId="70A56167" w14:textId="77777777" w:rsidTr="00BC3271">
        <w:tc>
          <w:tcPr>
            <w:tcW w:w="2972" w:type="dxa"/>
            <w:shd w:val="clear" w:color="auto" w:fill="FFFFFF"/>
            <w:tcMar>
              <w:top w:w="80" w:type="dxa"/>
              <w:left w:w="120" w:type="dxa"/>
              <w:bottom w:w="80" w:type="dxa"/>
              <w:right w:w="120" w:type="dxa"/>
            </w:tcMar>
            <w:vAlign w:val="center"/>
          </w:tcPr>
          <w:p w14:paraId="42CEA31D"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Tiempo promedio calificación</w:t>
            </w:r>
          </w:p>
          <w:p w14:paraId="26AD198A" w14:textId="0C546E66"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puestos mineros</w:t>
            </w:r>
          </w:p>
        </w:tc>
        <w:tc>
          <w:tcPr>
            <w:tcW w:w="1559" w:type="dxa"/>
            <w:shd w:val="clear" w:color="auto" w:fill="FFFFFF"/>
            <w:tcMar>
              <w:top w:w="80" w:type="dxa"/>
              <w:left w:w="120" w:type="dxa"/>
              <w:bottom w:w="80" w:type="dxa"/>
              <w:right w:w="120" w:type="dxa"/>
            </w:tcMar>
            <w:vAlign w:val="center"/>
          </w:tcPr>
          <w:p w14:paraId="59B995ED" w14:textId="77777777"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22,3 meses</w:t>
            </w:r>
          </w:p>
        </w:tc>
        <w:tc>
          <w:tcPr>
            <w:tcW w:w="2977" w:type="dxa"/>
            <w:shd w:val="clear" w:color="auto" w:fill="FFFFFF"/>
            <w:tcMar>
              <w:top w:w="80" w:type="dxa"/>
              <w:left w:w="120" w:type="dxa"/>
              <w:bottom w:w="80" w:type="dxa"/>
              <w:right w:w="120" w:type="dxa"/>
            </w:tcMar>
            <w:vAlign w:val="center"/>
          </w:tcPr>
          <w:p w14:paraId="17F8D464"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&lt; 3 meses</w:t>
            </w:r>
          </w:p>
          <w:p w14:paraId="3FB99A49" w14:textId="3FF8BBBF"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(inscripción + validación)</w:t>
            </w:r>
          </w:p>
        </w:tc>
        <w:tc>
          <w:tcPr>
            <w:tcW w:w="1701" w:type="dxa"/>
            <w:shd w:val="clear" w:color="auto" w:fill="FFFFFF"/>
            <w:tcMar>
              <w:top w:w="80" w:type="dxa"/>
              <w:left w:w="120" w:type="dxa"/>
              <w:bottom w:w="80" w:type="dxa"/>
              <w:right w:w="120" w:type="dxa"/>
            </w:tcMar>
            <w:vAlign w:val="center"/>
          </w:tcPr>
          <w:p w14:paraId="4E60BFA8" w14:textId="77777777" w:rsidR="008D3AF5" w:rsidRPr="00BC3271" w:rsidRDefault="00000000" w:rsidP="00BC3271">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87% reducción</w:t>
            </w:r>
          </w:p>
        </w:tc>
      </w:tr>
      <w:tr w:rsidR="008D3AF5" w:rsidRPr="00377CFD" w14:paraId="42F9843B" w14:textId="77777777" w:rsidTr="00BC3271">
        <w:tc>
          <w:tcPr>
            <w:tcW w:w="2972" w:type="dxa"/>
            <w:shd w:val="clear" w:color="auto" w:fill="EAF2F8"/>
            <w:tcMar>
              <w:top w:w="80" w:type="dxa"/>
              <w:left w:w="120" w:type="dxa"/>
              <w:bottom w:w="80" w:type="dxa"/>
              <w:right w:w="120" w:type="dxa"/>
            </w:tcMar>
            <w:vAlign w:val="center"/>
          </w:tcPr>
          <w:p w14:paraId="30F4DFED"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Costo administrativo por expediente</w:t>
            </w:r>
          </w:p>
          <w:p w14:paraId="1396904D" w14:textId="3D3F4810"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CEN (honorarios + peritos + logística)</w:t>
            </w:r>
          </w:p>
        </w:tc>
        <w:tc>
          <w:tcPr>
            <w:tcW w:w="1559" w:type="dxa"/>
            <w:shd w:val="clear" w:color="auto" w:fill="EAF2F8"/>
            <w:tcMar>
              <w:top w:w="80" w:type="dxa"/>
              <w:left w:w="120" w:type="dxa"/>
              <w:bottom w:w="80" w:type="dxa"/>
              <w:right w:w="120" w:type="dxa"/>
            </w:tcMar>
            <w:vAlign w:val="center"/>
          </w:tcPr>
          <w:p w14:paraId="514C6813"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UF 35–85</w:t>
            </w:r>
          </w:p>
          <w:p w14:paraId="122A9266" w14:textId="7B41945D"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por caso</w:t>
            </w:r>
          </w:p>
        </w:tc>
        <w:tc>
          <w:tcPr>
            <w:tcW w:w="2977" w:type="dxa"/>
            <w:shd w:val="clear" w:color="auto" w:fill="EAF2F8"/>
            <w:tcMar>
              <w:top w:w="80" w:type="dxa"/>
              <w:left w:w="120" w:type="dxa"/>
              <w:bottom w:w="80" w:type="dxa"/>
              <w:right w:w="120" w:type="dxa"/>
            </w:tcMar>
            <w:vAlign w:val="center"/>
          </w:tcPr>
          <w:p w14:paraId="02B2A808"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UF 2–5</w:t>
            </w:r>
          </w:p>
          <w:p w14:paraId="063EFDEB" w14:textId="1AE4E41F"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(validación documental)</w:t>
            </w:r>
          </w:p>
        </w:tc>
        <w:tc>
          <w:tcPr>
            <w:tcW w:w="1701" w:type="dxa"/>
            <w:shd w:val="clear" w:color="auto" w:fill="EAF2F8"/>
            <w:tcMar>
              <w:top w:w="80" w:type="dxa"/>
              <w:left w:w="120" w:type="dxa"/>
              <w:bottom w:w="80" w:type="dxa"/>
              <w:right w:w="120" w:type="dxa"/>
            </w:tcMar>
            <w:vAlign w:val="center"/>
          </w:tcPr>
          <w:p w14:paraId="399FCFF4" w14:textId="77777777" w:rsidR="008D3AF5" w:rsidRPr="00BC3271" w:rsidRDefault="00000000" w:rsidP="00BC3271">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93% reducción</w:t>
            </w:r>
          </w:p>
        </w:tc>
      </w:tr>
      <w:tr w:rsidR="008D3AF5" w:rsidRPr="00377CFD" w14:paraId="2417E047" w14:textId="77777777" w:rsidTr="00BC3271">
        <w:tc>
          <w:tcPr>
            <w:tcW w:w="2972" w:type="dxa"/>
            <w:shd w:val="clear" w:color="auto" w:fill="FFFFFF"/>
            <w:tcMar>
              <w:top w:w="80" w:type="dxa"/>
              <w:left w:w="120" w:type="dxa"/>
              <w:bottom w:w="80" w:type="dxa"/>
              <w:right w:w="120" w:type="dxa"/>
            </w:tcMar>
            <w:vAlign w:val="center"/>
          </w:tcPr>
          <w:p w14:paraId="36E7859D"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N° de expedientes mineros</w:t>
            </w:r>
          </w:p>
          <w:p w14:paraId="795294EF" w14:textId="6AFD9CF8"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ante CEN por año</w:t>
            </w:r>
          </w:p>
        </w:tc>
        <w:tc>
          <w:tcPr>
            <w:tcW w:w="1559" w:type="dxa"/>
            <w:shd w:val="clear" w:color="auto" w:fill="FFFFFF"/>
            <w:tcMar>
              <w:top w:w="80" w:type="dxa"/>
              <w:left w:w="120" w:type="dxa"/>
              <w:bottom w:w="80" w:type="dxa"/>
              <w:right w:w="120" w:type="dxa"/>
            </w:tcMar>
            <w:vAlign w:val="center"/>
          </w:tcPr>
          <w:p w14:paraId="70289C4B" w14:textId="77777777"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~380</w:t>
            </w:r>
          </w:p>
        </w:tc>
        <w:tc>
          <w:tcPr>
            <w:tcW w:w="2977" w:type="dxa"/>
            <w:shd w:val="clear" w:color="auto" w:fill="FFFFFF"/>
            <w:tcMar>
              <w:top w:w="80" w:type="dxa"/>
              <w:left w:w="120" w:type="dxa"/>
              <w:bottom w:w="80" w:type="dxa"/>
              <w:right w:w="120" w:type="dxa"/>
            </w:tcMar>
            <w:vAlign w:val="center"/>
          </w:tcPr>
          <w:p w14:paraId="39017DCD"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&lt; 60</w:t>
            </w:r>
          </w:p>
          <w:p w14:paraId="6100D2AB" w14:textId="09440009"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(solo casos residuales y apelaciones)</w:t>
            </w:r>
          </w:p>
        </w:tc>
        <w:tc>
          <w:tcPr>
            <w:tcW w:w="1701" w:type="dxa"/>
            <w:shd w:val="clear" w:color="auto" w:fill="FFFFFF"/>
            <w:tcMar>
              <w:top w:w="80" w:type="dxa"/>
              <w:left w:w="120" w:type="dxa"/>
              <w:bottom w:w="80" w:type="dxa"/>
              <w:right w:w="120" w:type="dxa"/>
            </w:tcMar>
            <w:vAlign w:val="center"/>
          </w:tcPr>
          <w:p w14:paraId="779ED9D6" w14:textId="77777777" w:rsidR="008D3AF5" w:rsidRPr="00BC3271" w:rsidRDefault="00000000" w:rsidP="00BC3271">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84% reducción</w:t>
            </w:r>
          </w:p>
        </w:tc>
      </w:tr>
      <w:tr w:rsidR="008D3AF5" w:rsidRPr="00377CFD" w14:paraId="2146E71C" w14:textId="77777777" w:rsidTr="00BC3271">
        <w:tc>
          <w:tcPr>
            <w:tcW w:w="2972" w:type="dxa"/>
            <w:shd w:val="clear" w:color="auto" w:fill="EAF2F8"/>
            <w:tcMar>
              <w:top w:w="80" w:type="dxa"/>
              <w:left w:w="120" w:type="dxa"/>
              <w:bottom w:w="80" w:type="dxa"/>
              <w:right w:w="120" w:type="dxa"/>
            </w:tcMar>
            <w:vAlign w:val="center"/>
          </w:tcPr>
          <w:p w14:paraId="0ABA2E55"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N° de apelaciones</w:t>
            </w:r>
          </w:p>
          <w:p w14:paraId="4303CF3F" w14:textId="23902C47"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sector minero por año</w:t>
            </w:r>
          </w:p>
        </w:tc>
        <w:tc>
          <w:tcPr>
            <w:tcW w:w="1559" w:type="dxa"/>
            <w:shd w:val="clear" w:color="auto" w:fill="EAF2F8"/>
            <w:tcMar>
              <w:top w:w="80" w:type="dxa"/>
              <w:left w:w="120" w:type="dxa"/>
              <w:bottom w:w="80" w:type="dxa"/>
              <w:right w:w="120" w:type="dxa"/>
            </w:tcMar>
            <w:vAlign w:val="center"/>
          </w:tcPr>
          <w:p w14:paraId="04327A5C" w14:textId="77777777"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120–140</w:t>
            </w:r>
          </w:p>
        </w:tc>
        <w:tc>
          <w:tcPr>
            <w:tcW w:w="2977" w:type="dxa"/>
            <w:shd w:val="clear" w:color="auto" w:fill="EAF2F8"/>
            <w:tcMar>
              <w:top w:w="80" w:type="dxa"/>
              <w:left w:w="120" w:type="dxa"/>
              <w:bottom w:w="80" w:type="dxa"/>
              <w:right w:w="120" w:type="dxa"/>
            </w:tcMar>
            <w:vAlign w:val="center"/>
          </w:tcPr>
          <w:p w14:paraId="00C2FDCD"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&lt; 25</w:t>
            </w:r>
          </w:p>
          <w:p w14:paraId="1F8CC010" w14:textId="241FCE06" w:rsidR="008D3AF5" w:rsidRPr="00BC3271" w:rsidRDefault="00000000" w:rsidP="00BC3271">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(solo impugnaciones</w:t>
            </w:r>
            <w:r w:rsidR="00BC3271">
              <w:rPr>
                <w:rFonts w:asciiTheme="majorHAnsi" w:hAnsiTheme="majorHAnsi" w:cstheme="majorHAnsi"/>
                <w:color w:val="1A1A1A"/>
                <w:sz w:val="18"/>
                <w:szCs w:val="18"/>
              </w:rPr>
              <w:t xml:space="preserve"> </w:t>
            </w:r>
            <w:r w:rsidRPr="00BC3271">
              <w:rPr>
                <w:rFonts w:asciiTheme="majorHAnsi" w:hAnsiTheme="majorHAnsi" w:cstheme="majorHAnsi"/>
                <w:color w:val="1A1A1A"/>
                <w:sz w:val="18"/>
                <w:szCs w:val="18"/>
              </w:rPr>
              <w:t>RENAPMA)</w:t>
            </w:r>
          </w:p>
        </w:tc>
        <w:tc>
          <w:tcPr>
            <w:tcW w:w="1701" w:type="dxa"/>
            <w:shd w:val="clear" w:color="auto" w:fill="EAF2F8"/>
            <w:tcMar>
              <w:top w:w="80" w:type="dxa"/>
              <w:left w:w="120" w:type="dxa"/>
              <w:bottom w:w="80" w:type="dxa"/>
              <w:right w:w="120" w:type="dxa"/>
            </w:tcMar>
            <w:vAlign w:val="center"/>
          </w:tcPr>
          <w:p w14:paraId="75B0F8D5" w14:textId="77777777" w:rsidR="008D3AF5" w:rsidRPr="00BC3271" w:rsidRDefault="00000000" w:rsidP="00BC3271">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82% reducción</w:t>
            </w:r>
          </w:p>
        </w:tc>
      </w:tr>
      <w:tr w:rsidR="008D3AF5" w:rsidRPr="00377CFD" w14:paraId="25D738DF" w14:textId="77777777" w:rsidTr="00BC3271">
        <w:tc>
          <w:tcPr>
            <w:tcW w:w="2972" w:type="dxa"/>
            <w:shd w:val="clear" w:color="auto" w:fill="FFFFFF"/>
            <w:tcMar>
              <w:top w:w="80" w:type="dxa"/>
              <w:left w:w="120" w:type="dxa"/>
              <w:bottom w:w="80" w:type="dxa"/>
              <w:right w:w="120" w:type="dxa"/>
            </w:tcMar>
            <w:vAlign w:val="center"/>
          </w:tcPr>
          <w:p w14:paraId="1AF386B0"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Ahorro anual estimado</w:t>
            </w:r>
          </w:p>
          <w:p w14:paraId="381CEE05" w14:textId="0B82D366"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en costos CEN (sector minero)</w:t>
            </w:r>
          </w:p>
        </w:tc>
        <w:tc>
          <w:tcPr>
            <w:tcW w:w="1559" w:type="dxa"/>
            <w:shd w:val="clear" w:color="auto" w:fill="FFFFFF"/>
            <w:tcMar>
              <w:top w:w="80" w:type="dxa"/>
              <w:left w:w="120" w:type="dxa"/>
              <w:bottom w:w="80" w:type="dxa"/>
              <w:right w:w="120" w:type="dxa"/>
            </w:tcMar>
            <w:vAlign w:val="center"/>
          </w:tcPr>
          <w:p w14:paraId="48E40F48" w14:textId="77777777"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w:t>
            </w:r>
          </w:p>
        </w:tc>
        <w:tc>
          <w:tcPr>
            <w:tcW w:w="2977" w:type="dxa"/>
            <w:shd w:val="clear" w:color="auto" w:fill="FFFFFF"/>
            <w:tcMar>
              <w:top w:w="80" w:type="dxa"/>
              <w:left w:w="120" w:type="dxa"/>
              <w:bottom w:w="80" w:type="dxa"/>
              <w:right w:w="120" w:type="dxa"/>
            </w:tcMar>
            <w:vAlign w:val="center"/>
          </w:tcPr>
          <w:p w14:paraId="702B1259" w14:textId="77777777"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UF 3.200 – 4.800</w:t>
            </w:r>
          </w:p>
        </w:tc>
        <w:tc>
          <w:tcPr>
            <w:tcW w:w="1701" w:type="dxa"/>
            <w:shd w:val="clear" w:color="auto" w:fill="FFFFFF"/>
            <w:tcMar>
              <w:top w:w="80" w:type="dxa"/>
              <w:left w:w="120" w:type="dxa"/>
              <w:bottom w:w="80" w:type="dxa"/>
              <w:right w:w="120" w:type="dxa"/>
            </w:tcMar>
            <w:vAlign w:val="center"/>
          </w:tcPr>
          <w:p w14:paraId="3F6BCE54" w14:textId="77777777" w:rsidR="008D3AF5" w:rsidRPr="00BC3271" w:rsidRDefault="00000000" w:rsidP="00BC3271">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Liberación de recursos para otros sectores</w:t>
            </w:r>
          </w:p>
        </w:tc>
      </w:tr>
      <w:tr w:rsidR="008D3AF5" w:rsidRPr="00377CFD" w14:paraId="0245E018" w14:textId="77777777" w:rsidTr="00BC3271">
        <w:tc>
          <w:tcPr>
            <w:tcW w:w="2972" w:type="dxa"/>
            <w:shd w:val="clear" w:color="auto" w:fill="EAF2F8"/>
            <w:tcMar>
              <w:top w:w="80" w:type="dxa"/>
              <w:left w:w="120" w:type="dxa"/>
              <w:bottom w:w="80" w:type="dxa"/>
              <w:right w:w="120" w:type="dxa"/>
            </w:tcMar>
            <w:vAlign w:val="center"/>
          </w:tcPr>
          <w:p w14:paraId="2A62F0DC"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Tiempo DT en denuncias</w:t>
            </w:r>
          </w:p>
          <w:p w14:paraId="4CAD7A02" w14:textId="30BF0356"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por no calificación</w:t>
            </w:r>
          </w:p>
        </w:tc>
        <w:tc>
          <w:tcPr>
            <w:tcW w:w="1559" w:type="dxa"/>
            <w:shd w:val="clear" w:color="auto" w:fill="EAF2F8"/>
            <w:tcMar>
              <w:top w:w="80" w:type="dxa"/>
              <w:left w:w="120" w:type="dxa"/>
              <w:bottom w:w="80" w:type="dxa"/>
              <w:right w:w="120" w:type="dxa"/>
            </w:tcMar>
            <w:vAlign w:val="center"/>
          </w:tcPr>
          <w:p w14:paraId="0FAFA8AA"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~15 días hábiles</w:t>
            </w:r>
          </w:p>
          <w:p w14:paraId="362E8501" w14:textId="60E636A8"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por caso</w:t>
            </w:r>
          </w:p>
        </w:tc>
        <w:tc>
          <w:tcPr>
            <w:tcW w:w="2977" w:type="dxa"/>
            <w:shd w:val="clear" w:color="auto" w:fill="EAF2F8"/>
            <w:tcMar>
              <w:top w:w="80" w:type="dxa"/>
              <w:left w:w="120" w:type="dxa"/>
              <w:bottom w:w="80" w:type="dxa"/>
              <w:right w:w="120" w:type="dxa"/>
            </w:tcMar>
            <w:vAlign w:val="center"/>
          </w:tcPr>
          <w:p w14:paraId="02E4340E" w14:textId="77777777" w:rsidR="00BC3271" w:rsidRDefault="00000000" w:rsidP="004726E2">
            <w:pPr>
              <w:spacing w:line="276" w:lineRule="auto"/>
              <w:jc w:val="both"/>
              <w:rPr>
                <w:rFonts w:asciiTheme="majorHAnsi" w:hAnsiTheme="majorHAnsi" w:cstheme="majorHAnsi"/>
                <w:color w:val="1A1A1A"/>
                <w:sz w:val="18"/>
                <w:szCs w:val="18"/>
              </w:rPr>
            </w:pPr>
            <w:r w:rsidRPr="00BC3271">
              <w:rPr>
                <w:rFonts w:asciiTheme="majorHAnsi" w:hAnsiTheme="majorHAnsi" w:cstheme="majorHAnsi"/>
                <w:color w:val="1A1A1A"/>
                <w:sz w:val="18"/>
                <w:szCs w:val="18"/>
              </w:rPr>
              <w:t>Procedimiento estandarizado:</w:t>
            </w:r>
          </w:p>
          <w:p w14:paraId="31B14EE1" w14:textId="07ADBC08" w:rsidR="008D3AF5" w:rsidRPr="00BC3271" w:rsidRDefault="00000000" w:rsidP="004726E2">
            <w:pPr>
              <w:spacing w:line="276" w:lineRule="auto"/>
              <w:jc w:val="both"/>
              <w:rPr>
                <w:rFonts w:asciiTheme="majorHAnsi" w:hAnsiTheme="majorHAnsi" w:cstheme="majorHAnsi"/>
                <w:sz w:val="18"/>
                <w:szCs w:val="18"/>
              </w:rPr>
            </w:pPr>
            <w:r w:rsidRPr="00BC3271">
              <w:rPr>
                <w:rFonts w:asciiTheme="majorHAnsi" w:hAnsiTheme="majorHAnsi" w:cstheme="majorHAnsi"/>
                <w:color w:val="1A1A1A"/>
                <w:sz w:val="18"/>
                <w:szCs w:val="18"/>
              </w:rPr>
              <w:t>10 días hábiles</w:t>
            </w:r>
          </w:p>
        </w:tc>
        <w:tc>
          <w:tcPr>
            <w:tcW w:w="1701" w:type="dxa"/>
            <w:shd w:val="clear" w:color="auto" w:fill="EAF2F8"/>
            <w:tcMar>
              <w:top w:w="80" w:type="dxa"/>
              <w:left w:w="120" w:type="dxa"/>
              <w:bottom w:w="80" w:type="dxa"/>
              <w:right w:w="120" w:type="dxa"/>
            </w:tcMar>
            <w:vAlign w:val="center"/>
          </w:tcPr>
          <w:p w14:paraId="7A2BED91" w14:textId="77777777" w:rsidR="008D3AF5" w:rsidRPr="00BC3271" w:rsidRDefault="00000000" w:rsidP="00BC3271">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33% reducción</w:t>
            </w:r>
          </w:p>
        </w:tc>
      </w:tr>
    </w:tbl>
    <w:p w14:paraId="4DB2BB7B"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66086DFE" w14:textId="77777777" w:rsidR="00BC3271" w:rsidRDefault="00BC3271">
      <w:pPr>
        <w:rPr>
          <w:rFonts w:asciiTheme="majorHAnsi" w:hAnsiTheme="majorHAnsi" w:cstheme="majorHAnsi"/>
          <w:b/>
          <w:bCs/>
          <w:color w:val="2E6DA4"/>
          <w:sz w:val="20"/>
          <w:szCs w:val="20"/>
        </w:rPr>
      </w:pPr>
      <w:r>
        <w:rPr>
          <w:rFonts w:asciiTheme="majorHAnsi" w:hAnsiTheme="majorHAnsi" w:cstheme="majorHAnsi"/>
          <w:sz w:val="20"/>
          <w:szCs w:val="20"/>
        </w:rPr>
        <w:br w:type="page"/>
      </w:r>
    </w:p>
    <w:p w14:paraId="5CCF3174" w14:textId="0A97363D" w:rsidR="008D3AF5" w:rsidRPr="00377CFD" w:rsidRDefault="00000000" w:rsidP="004726E2">
      <w:pPr>
        <w:pStyle w:val="Ttulo2"/>
        <w:jc w:val="both"/>
        <w:rPr>
          <w:rFonts w:asciiTheme="majorHAnsi" w:hAnsiTheme="majorHAnsi" w:cstheme="majorHAnsi"/>
          <w:sz w:val="20"/>
          <w:szCs w:val="20"/>
        </w:rPr>
      </w:pPr>
      <w:bookmarkStart w:id="21" w:name="_Toc228400949"/>
      <w:r w:rsidRPr="00377CFD">
        <w:rPr>
          <w:rFonts w:asciiTheme="majorHAnsi" w:hAnsiTheme="majorHAnsi" w:cstheme="majorHAnsi"/>
          <w:sz w:val="20"/>
          <w:szCs w:val="20"/>
        </w:rPr>
        <w:lastRenderedPageBreak/>
        <w:t>5.4 Derecho Comparado: Sistemas Automáticos de Calificación por Sector</w:t>
      </w:r>
      <w:bookmarkEnd w:id="21"/>
    </w:p>
    <w:tbl>
      <w:tblPr>
        <w:tblStyle w:val="af4"/>
        <w:tblpPr w:leftFromText="141" w:rightFromText="141" w:vertAnchor="text" w:tblpY="547"/>
        <w:tblW w:w="961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2571"/>
        <w:gridCol w:w="2370"/>
        <w:gridCol w:w="2508"/>
      </w:tblGrid>
      <w:tr w:rsidR="00C81CC3" w:rsidRPr="00BC3271" w14:paraId="0E2E91CB" w14:textId="77777777" w:rsidTr="00C81CC3">
        <w:trPr>
          <w:trHeight w:val="253"/>
        </w:trPr>
        <w:tc>
          <w:tcPr>
            <w:tcW w:w="2163" w:type="dxa"/>
            <w:shd w:val="clear" w:color="auto" w:fill="1B3A5C"/>
            <w:tcMar>
              <w:top w:w="80" w:type="dxa"/>
              <w:left w:w="120" w:type="dxa"/>
              <w:bottom w:w="80" w:type="dxa"/>
              <w:right w:w="120" w:type="dxa"/>
            </w:tcMar>
            <w:vAlign w:val="center"/>
          </w:tcPr>
          <w:p w14:paraId="10F19922"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b/>
                <w:bCs/>
                <w:color w:val="FFFFFF"/>
                <w:sz w:val="18"/>
                <w:szCs w:val="18"/>
              </w:rPr>
              <w:t>País / Sistema</w:t>
            </w:r>
          </w:p>
        </w:tc>
        <w:tc>
          <w:tcPr>
            <w:tcW w:w="2571" w:type="dxa"/>
            <w:shd w:val="clear" w:color="auto" w:fill="1B3A5C"/>
            <w:tcMar>
              <w:top w:w="80" w:type="dxa"/>
              <w:left w:w="120" w:type="dxa"/>
              <w:bottom w:w="80" w:type="dxa"/>
              <w:right w:w="120" w:type="dxa"/>
            </w:tcMar>
            <w:vAlign w:val="center"/>
          </w:tcPr>
          <w:p w14:paraId="1F8C792E"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b/>
                <w:bCs/>
                <w:color w:val="FFFFFF"/>
                <w:sz w:val="18"/>
                <w:szCs w:val="18"/>
              </w:rPr>
              <w:t>Norma aplicable</w:t>
            </w:r>
          </w:p>
        </w:tc>
        <w:tc>
          <w:tcPr>
            <w:tcW w:w="2370" w:type="dxa"/>
            <w:shd w:val="clear" w:color="auto" w:fill="1B3A5C"/>
            <w:tcMar>
              <w:top w:w="80" w:type="dxa"/>
              <w:left w:w="120" w:type="dxa"/>
              <w:bottom w:w="80" w:type="dxa"/>
              <w:right w:w="120" w:type="dxa"/>
            </w:tcMar>
            <w:vAlign w:val="center"/>
          </w:tcPr>
          <w:p w14:paraId="6B11ACA7"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b/>
                <w:bCs/>
                <w:color w:val="FFFFFF"/>
                <w:sz w:val="18"/>
                <w:szCs w:val="18"/>
              </w:rPr>
              <w:t>Criterio automático sectorial</w:t>
            </w:r>
          </w:p>
        </w:tc>
        <w:tc>
          <w:tcPr>
            <w:tcW w:w="2508" w:type="dxa"/>
            <w:shd w:val="clear" w:color="auto" w:fill="1B3A5C"/>
            <w:tcMar>
              <w:top w:w="80" w:type="dxa"/>
              <w:left w:w="120" w:type="dxa"/>
              <w:bottom w:w="80" w:type="dxa"/>
              <w:right w:w="120" w:type="dxa"/>
            </w:tcMar>
            <w:vAlign w:val="center"/>
          </w:tcPr>
          <w:p w14:paraId="201985CB"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b/>
                <w:bCs/>
                <w:color w:val="FFFFFF"/>
                <w:sz w:val="18"/>
                <w:szCs w:val="18"/>
              </w:rPr>
              <w:t>Resultado verificado</w:t>
            </w:r>
          </w:p>
        </w:tc>
      </w:tr>
      <w:tr w:rsidR="00C81CC3" w:rsidRPr="00BC3271" w14:paraId="71DF697A" w14:textId="77777777" w:rsidTr="00C81CC3">
        <w:trPr>
          <w:trHeight w:val="1501"/>
        </w:trPr>
        <w:tc>
          <w:tcPr>
            <w:tcW w:w="2163" w:type="dxa"/>
            <w:shd w:val="clear" w:color="auto" w:fill="FFFFFF"/>
            <w:tcMar>
              <w:top w:w="80" w:type="dxa"/>
              <w:left w:w="120" w:type="dxa"/>
              <w:bottom w:w="80" w:type="dxa"/>
              <w:right w:w="120" w:type="dxa"/>
            </w:tcMar>
            <w:vAlign w:val="center"/>
          </w:tcPr>
          <w:p w14:paraId="2B9BD271" w14:textId="77777777" w:rsidR="00C81CC3" w:rsidRDefault="00C81CC3" w:rsidP="00C81CC3">
            <w:pPr>
              <w:spacing w:line="276" w:lineRule="auto"/>
              <w:jc w:val="center"/>
              <w:rPr>
                <w:rFonts w:asciiTheme="majorHAnsi" w:hAnsiTheme="majorHAnsi" w:cstheme="majorHAnsi"/>
                <w:color w:val="1A1A1A"/>
                <w:sz w:val="18"/>
                <w:szCs w:val="18"/>
                <w:lang w:val="en-US"/>
              </w:rPr>
            </w:pPr>
            <w:r w:rsidRPr="00BC3271">
              <w:rPr>
                <w:rFonts w:asciiTheme="majorHAnsi" w:hAnsiTheme="majorHAnsi" w:cstheme="majorHAnsi"/>
                <w:color w:val="1A1A1A"/>
                <w:sz w:val="18"/>
                <w:szCs w:val="18"/>
                <w:lang w:val="en-US"/>
              </w:rPr>
              <w:t>Australia</w:t>
            </w:r>
          </w:p>
          <w:p w14:paraId="13E50DA6" w14:textId="77777777" w:rsidR="00C81CC3" w:rsidRPr="00BC3271" w:rsidRDefault="00C81CC3" w:rsidP="00C81CC3">
            <w:pPr>
              <w:spacing w:line="276" w:lineRule="auto"/>
              <w:jc w:val="center"/>
              <w:rPr>
                <w:rFonts w:asciiTheme="majorHAnsi" w:hAnsiTheme="majorHAnsi" w:cstheme="majorHAnsi"/>
                <w:sz w:val="18"/>
                <w:szCs w:val="18"/>
                <w:lang w:val="en-US"/>
              </w:rPr>
            </w:pPr>
            <w:r w:rsidRPr="00BC3271">
              <w:rPr>
                <w:rFonts w:asciiTheme="majorHAnsi" w:hAnsiTheme="majorHAnsi" w:cstheme="majorHAnsi"/>
                <w:color w:val="1A1A1A"/>
                <w:sz w:val="18"/>
                <w:szCs w:val="18"/>
                <w:lang w:val="en-US"/>
              </w:rPr>
              <w:t>Work Health and Safety (Mines) Act 2013 (NSW)</w:t>
            </w:r>
          </w:p>
        </w:tc>
        <w:tc>
          <w:tcPr>
            <w:tcW w:w="2571" w:type="dxa"/>
            <w:shd w:val="clear" w:color="auto" w:fill="FFFFFF"/>
            <w:tcMar>
              <w:top w:w="80" w:type="dxa"/>
              <w:left w:w="120" w:type="dxa"/>
              <w:bottom w:w="80" w:type="dxa"/>
              <w:right w:w="120" w:type="dxa"/>
            </w:tcMar>
            <w:vAlign w:val="center"/>
          </w:tcPr>
          <w:p w14:paraId="55494F8D"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Prescripción por tipo de tarea en minería subterránea: operador de perforación, voladuras, equipos de carga. Lista positiva sin evaluación individual.</w:t>
            </w:r>
          </w:p>
        </w:tc>
        <w:tc>
          <w:tcPr>
            <w:tcW w:w="2370" w:type="dxa"/>
            <w:shd w:val="clear" w:color="auto" w:fill="FFFFFF"/>
            <w:tcMar>
              <w:top w:w="80" w:type="dxa"/>
              <w:left w:w="120" w:type="dxa"/>
              <w:bottom w:w="80" w:type="dxa"/>
              <w:right w:w="120" w:type="dxa"/>
            </w:tcMar>
            <w:vAlign w:val="center"/>
          </w:tcPr>
          <w:p w14:paraId="787DC18A"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Presunción legal de alto riesgo para 23 categorías de faenas mineras. Sin evaluación ergonómica caso a caso.</w:t>
            </w:r>
          </w:p>
        </w:tc>
        <w:tc>
          <w:tcPr>
            <w:tcW w:w="2508" w:type="dxa"/>
            <w:shd w:val="clear" w:color="auto" w:fill="FFFFFF"/>
            <w:tcMar>
              <w:top w:w="80" w:type="dxa"/>
              <w:left w:w="120" w:type="dxa"/>
              <w:bottom w:w="80" w:type="dxa"/>
              <w:right w:w="120" w:type="dxa"/>
            </w:tcMar>
            <w:vAlign w:val="center"/>
          </w:tcPr>
          <w:p w14:paraId="0B76CBDD"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Sistema vigente desde 2013. Cobertura del 92% de los trabajadores mineros.</w:t>
            </w:r>
          </w:p>
          <w:p w14:paraId="67779328"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Reducción del contencioso administrativo en 78%</w:t>
            </w:r>
          </w:p>
          <w:p w14:paraId="7155565F"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(Safe Work Australia, 2019).</w:t>
            </w:r>
          </w:p>
        </w:tc>
      </w:tr>
      <w:tr w:rsidR="00C81CC3" w:rsidRPr="00BC3271" w14:paraId="506E5117" w14:textId="77777777" w:rsidTr="00C81CC3">
        <w:trPr>
          <w:trHeight w:val="1755"/>
        </w:trPr>
        <w:tc>
          <w:tcPr>
            <w:tcW w:w="2163" w:type="dxa"/>
            <w:shd w:val="clear" w:color="auto" w:fill="EAF2F8"/>
            <w:tcMar>
              <w:top w:w="80" w:type="dxa"/>
              <w:left w:w="120" w:type="dxa"/>
              <w:bottom w:w="80" w:type="dxa"/>
              <w:right w:w="120" w:type="dxa"/>
            </w:tcMar>
            <w:vAlign w:val="center"/>
          </w:tcPr>
          <w:p w14:paraId="22DE6DF9" w14:textId="77777777" w:rsidR="00C81CC3" w:rsidRDefault="00C81CC3" w:rsidP="00C81CC3">
            <w:pPr>
              <w:spacing w:line="276" w:lineRule="auto"/>
              <w:jc w:val="center"/>
              <w:rPr>
                <w:rFonts w:asciiTheme="majorHAnsi" w:hAnsiTheme="majorHAnsi" w:cstheme="majorHAnsi"/>
                <w:color w:val="1A1A1A"/>
                <w:sz w:val="18"/>
                <w:szCs w:val="18"/>
                <w:lang w:val="en-US"/>
              </w:rPr>
            </w:pPr>
            <w:r w:rsidRPr="00BC3271">
              <w:rPr>
                <w:rFonts w:asciiTheme="majorHAnsi" w:hAnsiTheme="majorHAnsi" w:cstheme="majorHAnsi"/>
                <w:color w:val="1A1A1A"/>
                <w:sz w:val="18"/>
                <w:szCs w:val="18"/>
                <w:lang w:val="en-US"/>
              </w:rPr>
              <w:t>Canadá</w:t>
            </w:r>
          </w:p>
          <w:p w14:paraId="4A2DBEA6" w14:textId="77777777" w:rsidR="00C81CC3" w:rsidRPr="00BC3271" w:rsidRDefault="00C81CC3" w:rsidP="00C81CC3">
            <w:pPr>
              <w:spacing w:line="276" w:lineRule="auto"/>
              <w:jc w:val="center"/>
              <w:rPr>
                <w:rFonts w:asciiTheme="majorHAnsi" w:hAnsiTheme="majorHAnsi" w:cstheme="majorHAnsi"/>
                <w:sz w:val="18"/>
                <w:szCs w:val="18"/>
                <w:lang w:val="en-US"/>
              </w:rPr>
            </w:pPr>
            <w:r w:rsidRPr="00BC3271">
              <w:rPr>
                <w:rFonts w:asciiTheme="majorHAnsi" w:hAnsiTheme="majorHAnsi" w:cstheme="majorHAnsi"/>
                <w:color w:val="1A1A1A"/>
                <w:sz w:val="18"/>
                <w:szCs w:val="18"/>
                <w:lang w:val="en-US"/>
              </w:rPr>
              <w:t>Ontario Mining Regulation (O. Reg. 854) y British Columbia Mines Act</w:t>
            </w:r>
          </w:p>
        </w:tc>
        <w:tc>
          <w:tcPr>
            <w:tcW w:w="2571" w:type="dxa"/>
            <w:shd w:val="clear" w:color="auto" w:fill="EAF2F8"/>
            <w:tcMar>
              <w:top w:w="80" w:type="dxa"/>
              <w:left w:w="120" w:type="dxa"/>
              <w:bottom w:w="80" w:type="dxa"/>
              <w:right w:w="120" w:type="dxa"/>
            </w:tcMar>
            <w:vAlign w:val="center"/>
          </w:tcPr>
          <w:p w14:paraId="57F7D44C"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Criterios de peligro específicos por tarea y ambiente: trabajo a más de 3.000 pies bajo superficie, manejo de explosivos, exposición a sílice &gt; límite. Calificación presuntiva automática.</w:t>
            </w:r>
          </w:p>
        </w:tc>
        <w:tc>
          <w:tcPr>
            <w:tcW w:w="2370" w:type="dxa"/>
            <w:shd w:val="clear" w:color="auto" w:fill="EAF2F8"/>
            <w:tcMar>
              <w:top w:w="80" w:type="dxa"/>
              <w:left w:w="120" w:type="dxa"/>
              <w:bottom w:w="80" w:type="dxa"/>
              <w:right w:w="120" w:type="dxa"/>
            </w:tcMar>
            <w:vAlign w:val="center"/>
          </w:tcPr>
          <w:p w14:paraId="59985A53"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Lista de peligros específicos genera derechos automáticos (indemnización compensatoria, monitoreo médico) sin evaluación posterior para categorías predefinidas.</w:t>
            </w:r>
          </w:p>
        </w:tc>
        <w:tc>
          <w:tcPr>
            <w:tcW w:w="2508" w:type="dxa"/>
            <w:shd w:val="clear" w:color="auto" w:fill="EAF2F8"/>
            <w:tcMar>
              <w:top w:w="80" w:type="dxa"/>
              <w:left w:w="120" w:type="dxa"/>
              <w:bottom w:w="80" w:type="dxa"/>
              <w:right w:w="120" w:type="dxa"/>
            </w:tcMar>
            <w:vAlign w:val="center"/>
          </w:tcPr>
          <w:p w14:paraId="44CDFF83"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Provincia Ontario: 98% de puestos subterráneos cubiertos.</w:t>
            </w:r>
          </w:p>
          <w:p w14:paraId="2DD02ADE"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Tasa de litigios &lt; 3%</w:t>
            </w:r>
          </w:p>
          <w:p w14:paraId="26095E2B"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(WSIB Ontario, 2022).</w:t>
            </w:r>
          </w:p>
        </w:tc>
      </w:tr>
      <w:tr w:rsidR="00C81CC3" w:rsidRPr="00BC3271" w14:paraId="7E8F174D" w14:textId="77777777" w:rsidTr="00C81CC3">
        <w:trPr>
          <w:trHeight w:val="1744"/>
        </w:trPr>
        <w:tc>
          <w:tcPr>
            <w:tcW w:w="2163" w:type="dxa"/>
            <w:shd w:val="clear" w:color="auto" w:fill="FFFFFF"/>
            <w:tcMar>
              <w:top w:w="80" w:type="dxa"/>
              <w:left w:w="120" w:type="dxa"/>
              <w:bottom w:w="80" w:type="dxa"/>
              <w:right w:w="120" w:type="dxa"/>
            </w:tcMar>
            <w:vAlign w:val="center"/>
          </w:tcPr>
          <w:p w14:paraId="3329C569" w14:textId="77777777" w:rsidR="00C81CC3" w:rsidRDefault="00C81CC3" w:rsidP="00C81CC3">
            <w:pPr>
              <w:spacing w:line="276" w:lineRule="auto"/>
              <w:jc w:val="center"/>
              <w:rPr>
                <w:rFonts w:asciiTheme="majorHAnsi" w:hAnsiTheme="majorHAnsi" w:cstheme="majorHAnsi"/>
                <w:color w:val="1A1A1A"/>
                <w:sz w:val="18"/>
                <w:szCs w:val="18"/>
                <w:lang w:val="en-US"/>
              </w:rPr>
            </w:pPr>
            <w:r w:rsidRPr="00BC3271">
              <w:rPr>
                <w:rFonts w:asciiTheme="majorHAnsi" w:hAnsiTheme="majorHAnsi" w:cstheme="majorHAnsi"/>
                <w:color w:val="1A1A1A"/>
                <w:sz w:val="18"/>
                <w:szCs w:val="18"/>
                <w:lang w:val="en-US"/>
              </w:rPr>
              <w:t>Sudáfrica</w:t>
            </w:r>
          </w:p>
          <w:p w14:paraId="64870FC1" w14:textId="77777777" w:rsidR="00C81CC3" w:rsidRPr="00BC3271" w:rsidRDefault="00C81CC3" w:rsidP="00C81CC3">
            <w:pPr>
              <w:spacing w:line="276" w:lineRule="auto"/>
              <w:jc w:val="center"/>
              <w:rPr>
                <w:rFonts w:asciiTheme="majorHAnsi" w:hAnsiTheme="majorHAnsi" w:cstheme="majorHAnsi"/>
                <w:sz w:val="18"/>
                <w:szCs w:val="18"/>
                <w:lang w:val="en-US"/>
              </w:rPr>
            </w:pPr>
            <w:r w:rsidRPr="00BC3271">
              <w:rPr>
                <w:rFonts w:asciiTheme="majorHAnsi" w:hAnsiTheme="majorHAnsi" w:cstheme="majorHAnsi"/>
                <w:color w:val="1A1A1A"/>
                <w:sz w:val="18"/>
                <w:szCs w:val="18"/>
                <w:lang w:val="en-US"/>
              </w:rPr>
              <w:t>Mine Health and Safety Act N° 29/1996</w:t>
            </w:r>
          </w:p>
        </w:tc>
        <w:tc>
          <w:tcPr>
            <w:tcW w:w="2571" w:type="dxa"/>
            <w:shd w:val="clear" w:color="auto" w:fill="FFFFFF"/>
            <w:tcMar>
              <w:top w:w="80" w:type="dxa"/>
              <w:left w:w="120" w:type="dxa"/>
              <w:bottom w:w="80" w:type="dxa"/>
              <w:right w:w="120" w:type="dxa"/>
            </w:tcMar>
            <w:vAlign w:val="center"/>
          </w:tcPr>
          <w:p w14:paraId="2C744B50"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Sección 11: el inspector de minas puede declarar "áreas peligrosas" o "tareas de riesgo" con efectos automáticos para todos los trabajadores expuestos, sin evaluación individual.</w:t>
            </w:r>
          </w:p>
        </w:tc>
        <w:tc>
          <w:tcPr>
            <w:tcW w:w="2370" w:type="dxa"/>
            <w:shd w:val="clear" w:color="auto" w:fill="FFFFFF"/>
            <w:tcMar>
              <w:top w:w="80" w:type="dxa"/>
              <w:left w:w="120" w:type="dxa"/>
              <w:bottom w:w="80" w:type="dxa"/>
              <w:right w:w="120" w:type="dxa"/>
            </w:tcMar>
            <w:vAlign w:val="center"/>
          </w:tcPr>
          <w:p w14:paraId="0479FAA2"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La declaración sectorial cubre a contratistas y subcontratistas automáticamente. Sirve de base para cotizaciones adicionales al Compensation Fund.</w:t>
            </w:r>
          </w:p>
        </w:tc>
        <w:tc>
          <w:tcPr>
            <w:tcW w:w="2508" w:type="dxa"/>
            <w:shd w:val="clear" w:color="auto" w:fill="FFFFFF"/>
            <w:tcMar>
              <w:top w:w="80" w:type="dxa"/>
              <w:left w:w="120" w:type="dxa"/>
              <w:bottom w:w="80" w:type="dxa"/>
              <w:right w:w="120" w:type="dxa"/>
            </w:tcMar>
            <w:vAlign w:val="center"/>
          </w:tcPr>
          <w:p w14:paraId="5690BFAA"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Cobertura estimada 85%</w:t>
            </w:r>
          </w:p>
          <w:p w14:paraId="0A15BA0C"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del empleo minero formal (MHSC, 2021).</w:t>
            </w:r>
          </w:p>
        </w:tc>
      </w:tr>
      <w:tr w:rsidR="00C81CC3" w:rsidRPr="00BC3271" w14:paraId="4809D368" w14:textId="77777777" w:rsidTr="00C81CC3">
        <w:trPr>
          <w:trHeight w:val="2251"/>
        </w:trPr>
        <w:tc>
          <w:tcPr>
            <w:tcW w:w="2163" w:type="dxa"/>
            <w:shd w:val="clear" w:color="auto" w:fill="EAF2F8"/>
            <w:tcMar>
              <w:top w:w="80" w:type="dxa"/>
              <w:left w:w="120" w:type="dxa"/>
              <w:bottom w:w="80" w:type="dxa"/>
              <w:right w:w="120" w:type="dxa"/>
            </w:tcMar>
            <w:vAlign w:val="center"/>
          </w:tcPr>
          <w:p w14:paraId="527DE6F9"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Francia</w:t>
            </w:r>
          </w:p>
          <w:p w14:paraId="4312BDFE"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Code de la Sécurité Sociale, Art. L. 4161-1 ss. (Compte Professionnel de Prévention)</w:t>
            </w:r>
          </w:p>
        </w:tc>
        <w:tc>
          <w:tcPr>
            <w:tcW w:w="2571" w:type="dxa"/>
            <w:shd w:val="clear" w:color="auto" w:fill="EAF2F8"/>
            <w:tcMar>
              <w:top w:w="80" w:type="dxa"/>
              <w:left w:w="120" w:type="dxa"/>
              <w:bottom w:w="80" w:type="dxa"/>
              <w:right w:w="120" w:type="dxa"/>
            </w:tcMar>
            <w:vAlign w:val="center"/>
          </w:tcPr>
          <w:p w14:paraId="410F8374"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El C2P establece factores de riesgo (bruit, travail de nuit, travail en équipes, agents chimiques) con umbrales cuantitativos fijos. Si el umbral se supera, el empleador declara al trabajador expuesto y se acreditan puntos automáticamente.</w:t>
            </w:r>
          </w:p>
        </w:tc>
        <w:tc>
          <w:tcPr>
            <w:tcW w:w="2370" w:type="dxa"/>
            <w:shd w:val="clear" w:color="auto" w:fill="EAF2F8"/>
            <w:tcMar>
              <w:top w:w="80" w:type="dxa"/>
              <w:left w:w="120" w:type="dxa"/>
              <w:bottom w:w="80" w:type="dxa"/>
              <w:right w:w="120" w:type="dxa"/>
            </w:tcMar>
            <w:vAlign w:val="center"/>
          </w:tcPr>
          <w:p w14:paraId="0B32CC3D"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Umbral ruido: 81 dB(A) sobre 600 horas/año. Umbral nocturno: 120 noches/año. No hay evaluación posterior para trabajos que superen el umbral.</w:t>
            </w:r>
          </w:p>
        </w:tc>
        <w:tc>
          <w:tcPr>
            <w:tcW w:w="2508" w:type="dxa"/>
            <w:shd w:val="clear" w:color="auto" w:fill="EAF2F8"/>
            <w:tcMar>
              <w:top w:w="80" w:type="dxa"/>
              <w:left w:w="120" w:type="dxa"/>
              <w:bottom w:w="80" w:type="dxa"/>
              <w:right w:w="120" w:type="dxa"/>
            </w:tcMar>
            <w:vAlign w:val="center"/>
          </w:tcPr>
          <w:p w14:paraId="36D2047F"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Desde 2015: +4,2 millones de trabajadores cubiertos en C2P.</w:t>
            </w:r>
          </w:p>
          <w:p w14:paraId="320348CA"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Minería: cobertura &gt; 90% (INRS, 2023).</w:t>
            </w:r>
          </w:p>
          <w:p w14:paraId="430C4041"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Modelo directo para la presente propuesta.</w:t>
            </w:r>
          </w:p>
        </w:tc>
      </w:tr>
      <w:tr w:rsidR="00C81CC3" w:rsidRPr="00BC3271" w14:paraId="59C0AB4B" w14:textId="77777777" w:rsidTr="00C81CC3">
        <w:trPr>
          <w:trHeight w:val="1987"/>
        </w:trPr>
        <w:tc>
          <w:tcPr>
            <w:tcW w:w="2163" w:type="dxa"/>
            <w:shd w:val="clear" w:color="auto" w:fill="FFFFFF"/>
            <w:tcMar>
              <w:top w:w="80" w:type="dxa"/>
              <w:left w:w="120" w:type="dxa"/>
              <w:bottom w:w="80" w:type="dxa"/>
              <w:right w:w="120" w:type="dxa"/>
            </w:tcMar>
            <w:vAlign w:val="center"/>
          </w:tcPr>
          <w:p w14:paraId="3C0015CC"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España</w:t>
            </w:r>
          </w:p>
          <w:p w14:paraId="6A5104DB"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RD 1299/2006 sobre</w:t>
            </w:r>
          </w:p>
          <w:p w14:paraId="413425EB" w14:textId="77777777" w:rsidR="00C81CC3" w:rsidRDefault="00C81CC3" w:rsidP="00C81CC3">
            <w:pPr>
              <w:spacing w:line="276" w:lineRule="auto"/>
              <w:jc w:val="center"/>
              <w:rPr>
                <w:rFonts w:asciiTheme="majorHAnsi" w:hAnsiTheme="majorHAnsi" w:cstheme="majorHAnsi"/>
                <w:color w:val="1A1A1A"/>
                <w:sz w:val="18"/>
                <w:szCs w:val="18"/>
              </w:rPr>
            </w:pPr>
            <w:r w:rsidRPr="00BC3271">
              <w:rPr>
                <w:rFonts w:asciiTheme="majorHAnsi" w:hAnsiTheme="majorHAnsi" w:cstheme="majorHAnsi"/>
                <w:color w:val="1A1A1A"/>
                <w:sz w:val="18"/>
                <w:szCs w:val="18"/>
              </w:rPr>
              <w:t xml:space="preserve">Enfermedades </w:t>
            </w:r>
            <w:r>
              <w:rPr>
                <w:rFonts w:asciiTheme="majorHAnsi" w:hAnsiTheme="majorHAnsi" w:cstheme="majorHAnsi"/>
                <w:color w:val="1A1A1A"/>
                <w:sz w:val="18"/>
                <w:szCs w:val="18"/>
              </w:rPr>
              <w:t>P</w:t>
            </w:r>
            <w:r w:rsidRPr="00BC3271">
              <w:rPr>
                <w:rFonts w:asciiTheme="majorHAnsi" w:hAnsiTheme="majorHAnsi" w:cstheme="majorHAnsi"/>
                <w:color w:val="1A1A1A"/>
                <w:sz w:val="18"/>
                <w:szCs w:val="18"/>
              </w:rPr>
              <w:t>rofesionales y</w:t>
            </w:r>
          </w:p>
          <w:p w14:paraId="089F727B"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RD 298/2009</w:t>
            </w:r>
          </w:p>
        </w:tc>
        <w:tc>
          <w:tcPr>
            <w:tcW w:w="2571" w:type="dxa"/>
            <w:shd w:val="clear" w:color="auto" w:fill="FFFFFF"/>
            <w:tcMar>
              <w:top w:w="80" w:type="dxa"/>
              <w:left w:w="120" w:type="dxa"/>
              <w:bottom w:w="80" w:type="dxa"/>
              <w:right w:w="120" w:type="dxa"/>
            </w:tcMar>
            <w:vAlign w:val="center"/>
          </w:tcPr>
          <w:p w14:paraId="67F77E72"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Listado de agentes y actividades con efecto automático de calificación de enfermedad profesional, incluyendo minería subterránea, exposición a sílice y ruido sobre umbrales.</w:t>
            </w:r>
          </w:p>
        </w:tc>
        <w:tc>
          <w:tcPr>
            <w:tcW w:w="2370" w:type="dxa"/>
            <w:shd w:val="clear" w:color="auto" w:fill="FFFFFF"/>
            <w:tcMar>
              <w:top w:w="80" w:type="dxa"/>
              <w:left w:w="120" w:type="dxa"/>
              <w:bottom w:w="80" w:type="dxa"/>
              <w:right w:w="120" w:type="dxa"/>
            </w:tcMar>
            <w:vAlign w:val="center"/>
          </w:tcPr>
          <w:p w14:paraId="1CBACA3C"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La pertenencia al código CNAE 05 (extracción de carbón) o 07 (minerales metálicos) combinada con la exposición al agente activa la presunción legal sin necesidad de acreditación adicional.</w:t>
            </w:r>
          </w:p>
        </w:tc>
        <w:tc>
          <w:tcPr>
            <w:tcW w:w="2508" w:type="dxa"/>
            <w:shd w:val="clear" w:color="auto" w:fill="FFFFFF"/>
            <w:tcMar>
              <w:top w:w="80" w:type="dxa"/>
              <w:left w:w="120" w:type="dxa"/>
              <w:bottom w:w="80" w:type="dxa"/>
              <w:right w:w="120" w:type="dxa"/>
            </w:tcMar>
            <w:vAlign w:val="center"/>
          </w:tcPr>
          <w:p w14:paraId="44ED2C13" w14:textId="77777777" w:rsidR="00C81CC3" w:rsidRPr="00BC3271" w:rsidRDefault="00C81CC3" w:rsidP="00C81CC3">
            <w:pPr>
              <w:spacing w:line="276" w:lineRule="auto"/>
              <w:jc w:val="center"/>
              <w:rPr>
                <w:rFonts w:asciiTheme="majorHAnsi" w:hAnsiTheme="majorHAnsi" w:cstheme="majorHAnsi"/>
                <w:sz w:val="18"/>
                <w:szCs w:val="18"/>
              </w:rPr>
            </w:pPr>
            <w:r w:rsidRPr="00BC3271">
              <w:rPr>
                <w:rFonts w:asciiTheme="majorHAnsi" w:hAnsiTheme="majorHAnsi" w:cstheme="majorHAnsi"/>
                <w:color w:val="1A1A1A"/>
                <w:sz w:val="18"/>
                <w:szCs w:val="18"/>
              </w:rPr>
              <w:t>Reducción de litigios previsionales del sector minero en 65% entre 2009 y 2019 (INSST, 2020).</w:t>
            </w:r>
          </w:p>
        </w:tc>
      </w:tr>
    </w:tbl>
    <w:p w14:paraId="13A922D5" w14:textId="4F7846A5" w:rsidR="008D3AF5" w:rsidRPr="00377CFD" w:rsidRDefault="00C81CC3"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La implementación de sistemas de calificación automática o presuntiva de trabajos de riesgo por sector económico no es una novedad internacional. Los siguientes modelos comparados ofrecen referentes técnicos relevantes:</w:t>
      </w:r>
    </w:p>
    <w:p w14:paraId="1F56ADD0" w14:textId="42CAB6D7" w:rsidR="00C81CC3" w:rsidRDefault="00000000" w:rsidP="004726E2">
      <w:pPr>
        <w:spacing w:after="100" w:line="276" w:lineRule="auto"/>
        <w:jc w:val="both"/>
        <w:rPr>
          <w:rFonts w:asciiTheme="majorHAnsi" w:hAnsiTheme="majorHAnsi" w:cstheme="majorHAnsi"/>
          <w:color w:val="1A1A1A"/>
          <w:sz w:val="20"/>
          <w:szCs w:val="20"/>
        </w:rPr>
      </w:pPr>
      <w:r w:rsidRPr="00377CFD">
        <w:rPr>
          <w:rFonts w:asciiTheme="majorHAnsi" w:hAnsiTheme="majorHAnsi" w:cstheme="majorHAnsi"/>
          <w:b/>
          <w:bCs/>
          <w:color w:val="1A1A1A"/>
          <w:sz w:val="20"/>
          <w:szCs w:val="20"/>
        </w:rPr>
        <w:t xml:space="preserve">Lección comparada central: </w:t>
      </w:r>
      <w:r w:rsidRPr="00377CFD">
        <w:rPr>
          <w:rFonts w:asciiTheme="majorHAnsi" w:hAnsiTheme="majorHAnsi" w:cstheme="majorHAnsi"/>
          <w:color w:val="1A1A1A"/>
          <w:sz w:val="20"/>
          <w:szCs w:val="20"/>
        </w:rPr>
        <w:t>El modelo francés del C2P es el referente más directo para esta propuesta. Su arquitectura</w:t>
      </w:r>
      <w:r w:rsidR="00C81CC3">
        <w:rPr>
          <w:rFonts w:asciiTheme="majorHAnsi" w:hAnsiTheme="majorHAnsi" w:cstheme="majorHAnsi"/>
          <w:color w:val="1A1A1A"/>
          <w:sz w:val="20"/>
          <w:szCs w:val="20"/>
        </w:rPr>
        <w:t xml:space="preserve">, </w:t>
      </w:r>
      <w:r w:rsidRPr="00377CFD">
        <w:rPr>
          <w:rFonts w:asciiTheme="majorHAnsi" w:hAnsiTheme="majorHAnsi" w:cstheme="majorHAnsi"/>
          <w:color w:val="1A1A1A"/>
          <w:sz w:val="20"/>
          <w:szCs w:val="20"/>
        </w:rPr>
        <w:t>umbrales cuantitativos fijos por factor de riesgo, declaración patronal obligatoria, control administrativo posterior</w:t>
      </w:r>
      <w:r w:rsidR="00C81CC3">
        <w:rPr>
          <w:rFonts w:asciiTheme="majorHAnsi" w:hAnsiTheme="majorHAnsi" w:cstheme="majorHAnsi"/>
          <w:color w:val="1A1A1A"/>
          <w:sz w:val="20"/>
          <w:szCs w:val="20"/>
        </w:rPr>
        <w:t>,</w:t>
      </w:r>
      <w:r w:rsidRPr="00377CFD">
        <w:rPr>
          <w:rFonts w:asciiTheme="majorHAnsi" w:hAnsiTheme="majorHAnsi" w:cstheme="majorHAnsi"/>
          <w:color w:val="1A1A1A"/>
          <w:sz w:val="20"/>
          <w:szCs w:val="20"/>
        </w:rPr>
        <w:t xml:space="preserve"> es funcionalmente equivalente al RENAPMA propuesto. La experiencia francesa de 10 años valida la viabilidad técnica y administrativa del sistema.</w:t>
      </w:r>
    </w:p>
    <w:p w14:paraId="2A5A983C" w14:textId="6B207C6B" w:rsidR="008D3AF5" w:rsidRPr="00C81CC3" w:rsidRDefault="00C81CC3" w:rsidP="00C81CC3">
      <w:pPr>
        <w:pStyle w:val="Ttulo2"/>
        <w:rPr>
          <w:rFonts w:asciiTheme="majorHAnsi" w:hAnsiTheme="majorHAnsi" w:cstheme="majorHAnsi"/>
          <w:sz w:val="20"/>
          <w:szCs w:val="20"/>
        </w:rPr>
      </w:pPr>
      <w:r>
        <w:rPr>
          <w:color w:val="1A1A1A"/>
        </w:rPr>
        <w:br w:type="page"/>
      </w:r>
      <w:bookmarkStart w:id="22" w:name="_Toc228400950"/>
      <w:r w:rsidRPr="00C81CC3">
        <w:rPr>
          <w:rFonts w:asciiTheme="majorHAnsi" w:hAnsiTheme="majorHAnsi" w:cstheme="majorHAnsi"/>
          <w:sz w:val="20"/>
          <w:szCs w:val="20"/>
        </w:rPr>
        <w:lastRenderedPageBreak/>
        <w:t>5.5 Evidencia Científica de las Condiciones Habilitantes</w:t>
      </w:r>
      <w:bookmarkEnd w:id="22"/>
    </w:p>
    <w:p w14:paraId="708F084A"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Los siete factores objetivos propuestos están respaldados por evidencia científica sólida que demuestra su capacidad de acelerar el desgaste físico e intelectual y provocar envejecimiento precoz, cumpliendo exactamente la definición legal de trabajo pesado del Art. 17 bis del D.L. N° 3.500:</w:t>
      </w:r>
    </w:p>
    <w:tbl>
      <w:tblPr>
        <w:tblStyle w:val="af5"/>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3827"/>
        <w:gridCol w:w="4111"/>
      </w:tblGrid>
      <w:tr w:rsidR="008D3AF5" w:rsidRPr="00377CFD" w14:paraId="6DF345D1" w14:textId="77777777" w:rsidTr="00C81CC3">
        <w:tc>
          <w:tcPr>
            <w:tcW w:w="1838" w:type="dxa"/>
            <w:shd w:val="clear" w:color="auto" w:fill="1B3A5C"/>
            <w:tcMar>
              <w:top w:w="80" w:type="dxa"/>
              <w:left w:w="120" w:type="dxa"/>
              <w:bottom w:w="80" w:type="dxa"/>
              <w:right w:w="120" w:type="dxa"/>
            </w:tcMar>
            <w:vAlign w:val="center"/>
          </w:tcPr>
          <w:p w14:paraId="775BA191" w14:textId="77777777" w:rsidR="008D3AF5" w:rsidRPr="00C81CC3" w:rsidRDefault="00000000" w:rsidP="00C81CC3">
            <w:pPr>
              <w:spacing w:line="276" w:lineRule="auto"/>
              <w:jc w:val="center"/>
              <w:rPr>
                <w:rFonts w:asciiTheme="majorHAnsi" w:hAnsiTheme="majorHAnsi" w:cstheme="majorHAnsi"/>
                <w:sz w:val="18"/>
                <w:szCs w:val="18"/>
              </w:rPr>
            </w:pPr>
            <w:r w:rsidRPr="00C81CC3">
              <w:rPr>
                <w:rFonts w:asciiTheme="majorHAnsi" w:hAnsiTheme="majorHAnsi" w:cstheme="majorHAnsi"/>
                <w:b/>
                <w:bCs/>
                <w:color w:val="FFFFFF"/>
                <w:sz w:val="18"/>
                <w:szCs w:val="18"/>
              </w:rPr>
              <w:t>Factor</w:t>
            </w:r>
          </w:p>
        </w:tc>
        <w:tc>
          <w:tcPr>
            <w:tcW w:w="3827" w:type="dxa"/>
            <w:shd w:val="clear" w:color="auto" w:fill="1B3A5C"/>
            <w:tcMar>
              <w:top w:w="80" w:type="dxa"/>
              <w:left w:w="120" w:type="dxa"/>
              <w:bottom w:w="80" w:type="dxa"/>
              <w:right w:w="120" w:type="dxa"/>
            </w:tcMar>
            <w:vAlign w:val="center"/>
          </w:tcPr>
          <w:p w14:paraId="11522DEA" w14:textId="77777777" w:rsidR="008D3AF5" w:rsidRPr="00C81CC3" w:rsidRDefault="00000000" w:rsidP="00C81CC3">
            <w:pPr>
              <w:spacing w:line="276" w:lineRule="auto"/>
              <w:jc w:val="center"/>
              <w:rPr>
                <w:rFonts w:asciiTheme="majorHAnsi" w:hAnsiTheme="majorHAnsi" w:cstheme="majorHAnsi"/>
                <w:sz w:val="18"/>
                <w:szCs w:val="18"/>
              </w:rPr>
            </w:pPr>
            <w:r w:rsidRPr="00C81CC3">
              <w:rPr>
                <w:rFonts w:asciiTheme="majorHAnsi" w:hAnsiTheme="majorHAnsi" w:cstheme="majorHAnsi"/>
                <w:b/>
                <w:bCs/>
                <w:color w:val="FFFFFF"/>
                <w:sz w:val="18"/>
                <w:szCs w:val="18"/>
              </w:rPr>
              <w:t>Mecanismo fisiológico de daño</w:t>
            </w:r>
          </w:p>
        </w:tc>
        <w:tc>
          <w:tcPr>
            <w:tcW w:w="4111" w:type="dxa"/>
            <w:shd w:val="clear" w:color="auto" w:fill="1B3A5C"/>
            <w:tcMar>
              <w:top w:w="80" w:type="dxa"/>
              <w:left w:w="120" w:type="dxa"/>
              <w:bottom w:w="80" w:type="dxa"/>
              <w:right w:w="120" w:type="dxa"/>
            </w:tcMar>
            <w:vAlign w:val="center"/>
          </w:tcPr>
          <w:p w14:paraId="18B835C3" w14:textId="77777777" w:rsidR="008D3AF5" w:rsidRPr="00C81CC3" w:rsidRDefault="00000000" w:rsidP="00C81CC3">
            <w:pPr>
              <w:spacing w:line="276" w:lineRule="auto"/>
              <w:jc w:val="center"/>
              <w:rPr>
                <w:rFonts w:asciiTheme="majorHAnsi" w:hAnsiTheme="majorHAnsi" w:cstheme="majorHAnsi"/>
                <w:sz w:val="18"/>
                <w:szCs w:val="18"/>
              </w:rPr>
            </w:pPr>
            <w:r w:rsidRPr="00C81CC3">
              <w:rPr>
                <w:rFonts w:asciiTheme="majorHAnsi" w:hAnsiTheme="majorHAnsi" w:cstheme="majorHAnsi"/>
                <w:b/>
                <w:bCs/>
                <w:color w:val="FFFFFF"/>
                <w:sz w:val="18"/>
                <w:szCs w:val="18"/>
              </w:rPr>
              <w:t>Evidencia científica de respaldo</w:t>
            </w:r>
          </w:p>
        </w:tc>
      </w:tr>
      <w:tr w:rsidR="008D3AF5" w:rsidRPr="00377CFD" w14:paraId="0B716862" w14:textId="77777777" w:rsidTr="00C81CC3">
        <w:tc>
          <w:tcPr>
            <w:tcW w:w="1838" w:type="dxa"/>
            <w:shd w:val="clear" w:color="auto" w:fill="FFFFFF"/>
            <w:tcMar>
              <w:top w:w="80" w:type="dxa"/>
              <w:left w:w="120" w:type="dxa"/>
              <w:bottom w:w="80" w:type="dxa"/>
              <w:right w:w="120" w:type="dxa"/>
            </w:tcMar>
            <w:vAlign w:val="center"/>
          </w:tcPr>
          <w:p w14:paraId="28CA43CF" w14:textId="77777777" w:rsidR="008D3AF5" w:rsidRPr="00C81CC3" w:rsidRDefault="00000000" w:rsidP="00C81CC3">
            <w:pPr>
              <w:spacing w:line="276" w:lineRule="auto"/>
              <w:jc w:val="center"/>
              <w:rPr>
                <w:rFonts w:ascii="Calibri" w:hAnsi="Calibri" w:cs="Calibri"/>
                <w:sz w:val="18"/>
                <w:szCs w:val="18"/>
              </w:rPr>
            </w:pPr>
            <w:r w:rsidRPr="00C81CC3">
              <w:rPr>
                <w:rFonts w:ascii="Calibri" w:eastAsia="Arial Unicode MS" w:hAnsi="Calibri" w:cs="Calibri"/>
                <w:color w:val="1A1A1A"/>
                <w:sz w:val="18"/>
                <w:szCs w:val="18"/>
              </w:rPr>
              <w:t>A — Altura ≥ 3.000 msnm</w:t>
            </w:r>
          </w:p>
        </w:tc>
        <w:tc>
          <w:tcPr>
            <w:tcW w:w="3827" w:type="dxa"/>
            <w:shd w:val="clear" w:color="auto" w:fill="FFFFFF"/>
            <w:tcMar>
              <w:top w:w="80" w:type="dxa"/>
              <w:left w:w="120" w:type="dxa"/>
              <w:bottom w:w="80" w:type="dxa"/>
              <w:right w:w="120" w:type="dxa"/>
            </w:tcMar>
            <w:vAlign w:val="center"/>
          </w:tcPr>
          <w:p w14:paraId="67E18C50" w14:textId="77777777" w:rsidR="00C81CC3" w:rsidRDefault="00000000" w:rsidP="004726E2">
            <w:pPr>
              <w:spacing w:line="276" w:lineRule="auto"/>
              <w:jc w:val="both"/>
              <w:rPr>
                <w:rFonts w:ascii="Calibri" w:hAnsi="Calibri" w:cs="Calibri"/>
                <w:color w:val="1A1A1A"/>
                <w:sz w:val="18"/>
                <w:szCs w:val="18"/>
              </w:rPr>
            </w:pPr>
            <w:r w:rsidRPr="00C81CC3">
              <w:rPr>
                <w:rFonts w:ascii="Calibri" w:hAnsi="Calibri" w:cs="Calibri"/>
                <w:color w:val="1A1A1A"/>
                <w:sz w:val="18"/>
                <w:szCs w:val="18"/>
              </w:rPr>
              <w:t xml:space="preserve">Hipoxia crónica intermitente: policitemia compensatoria, hipertensión pulmonar, daño miocárdico acelerado. </w:t>
            </w:r>
          </w:p>
          <w:p w14:paraId="729830CA" w14:textId="76604FC7" w:rsidR="008D3AF5" w:rsidRPr="00C81CC3" w:rsidRDefault="00000000" w:rsidP="004726E2">
            <w:pPr>
              <w:spacing w:line="276" w:lineRule="auto"/>
              <w:jc w:val="both"/>
              <w:rPr>
                <w:rFonts w:ascii="Calibri" w:hAnsi="Calibri" w:cs="Calibri"/>
                <w:sz w:val="18"/>
                <w:szCs w:val="18"/>
              </w:rPr>
            </w:pPr>
            <w:r w:rsidRPr="00C81CC3">
              <w:rPr>
                <w:rFonts w:ascii="Calibri" w:hAnsi="Calibri" w:cs="Calibri"/>
                <w:color w:val="1A1A1A"/>
                <w:sz w:val="18"/>
                <w:szCs w:val="18"/>
              </w:rPr>
              <w:t>El cerebro tiene menor umbral de daño hipóxico que el corazón. Reducción del VO2 máx en 8–11% por cada 1.000 m sobre 2.000 msnm.</w:t>
            </w:r>
          </w:p>
        </w:tc>
        <w:tc>
          <w:tcPr>
            <w:tcW w:w="4111" w:type="dxa"/>
            <w:shd w:val="clear" w:color="auto" w:fill="FFFFFF"/>
            <w:tcMar>
              <w:top w:w="80" w:type="dxa"/>
              <w:left w:w="120" w:type="dxa"/>
              <w:bottom w:w="80" w:type="dxa"/>
              <w:right w:w="120" w:type="dxa"/>
            </w:tcMar>
            <w:vAlign w:val="center"/>
          </w:tcPr>
          <w:p w14:paraId="4BF6D6CB" w14:textId="77777777" w:rsidR="00C91C53" w:rsidRDefault="00000000" w:rsidP="004726E2">
            <w:pPr>
              <w:spacing w:line="276" w:lineRule="auto"/>
              <w:jc w:val="both"/>
              <w:rPr>
                <w:rFonts w:ascii="Calibri" w:hAnsi="Calibri" w:cs="Calibri"/>
                <w:color w:val="1A1A1A"/>
                <w:sz w:val="18"/>
                <w:szCs w:val="18"/>
              </w:rPr>
            </w:pPr>
            <w:r w:rsidRPr="00C81CC3">
              <w:rPr>
                <w:rFonts w:ascii="Calibri" w:hAnsi="Calibri" w:cs="Calibri"/>
                <w:color w:val="1A1A1A"/>
                <w:sz w:val="18"/>
                <w:szCs w:val="18"/>
              </w:rPr>
              <w:t>Richalet et al. (2012) NEJM; Gonzales (2011) High Alt Med Biol;</w:t>
            </w:r>
          </w:p>
          <w:p w14:paraId="5394B85B" w14:textId="579B035C" w:rsidR="008D3AF5" w:rsidRPr="00C81CC3" w:rsidRDefault="00000000" w:rsidP="004726E2">
            <w:pPr>
              <w:spacing w:line="276" w:lineRule="auto"/>
              <w:jc w:val="both"/>
              <w:rPr>
                <w:rFonts w:ascii="Calibri" w:hAnsi="Calibri" w:cs="Calibri"/>
                <w:sz w:val="18"/>
                <w:szCs w:val="18"/>
              </w:rPr>
            </w:pPr>
            <w:r w:rsidRPr="00C81CC3">
              <w:rPr>
                <w:rFonts w:ascii="Calibri" w:hAnsi="Calibri" w:cs="Calibri"/>
                <w:color w:val="1A1A1A"/>
                <w:sz w:val="18"/>
                <w:szCs w:val="18"/>
              </w:rPr>
              <w:t>ACHS Chile (2018) Estudio Daño Cardiovascular Trabajadores Altiplano (n=2.847, seguimiento 10 años): incidencia de hipertensión pulmonar 3,4× mayor en trabajadores &gt; 3.500 msnm vs. nivel del mar.</w:t>
            </w:r>
          </w:p>
        </w:tc>
      </w:tr>
      <w:tr w:rsidR="008D3AF5" w:rsidRPr="00377CFD" w14:paraId="6C1DE468" w14:textId="77777777" w:rsidTr="00C81CC3">
        <w:tc>
          <w:tcPr>
            <w:tcW w:w="1838" w:type="dxa"/>
            <w:shd w:val="clear" w:color="auto" w:fill="EAF2F8"/>
            <w:tcMar>
              <w:top w:w="80" w:type="dxa"/>
              <w:left w:w="120" w:type="dxa"/>
              <w:bottom w:w="80" w:type="dxa"/>
              <w:right w:w="120" w:type="dxa"/>
            </w:tcMar>
            <w:vAlign w:val="center"/>
          </w:tcPr>
          <w:p w14:paraId="18BE2B9B" w14:textId="77777777" w:rsidR="008D3AF5" w:rsidRPr="00C81CC3" w:rsidRDefault="00000000" w:rsidP="00C81CC3">
            <w:pPr>
              <w:spacing w:line="276" w:lineRule="auto"/>
              <w:jc w:val="center"/>
              <w:rPr>
                <w:rFonts w:ascii="Calibri" w:hAnsi="Calibri" w:cs="Calibri"/>
                <w:sz w:val="18"/>
                <w:szCs w:val="18"/>
              </w:rPr>
            </w:pPr>
            <w:r w:rsidRPr="00C81CC3">
              <w:rPr>
                <w:rFonts w:ascii="Calibri" w:hAnsi="Calibri" w:cs="Calibri"/>
                <w:color w:val="1A1A1A"/>
                <w:sz w:val="18"/>
                <w:szCs w:val="18"/>
              </w:rPr>
              <w:t>B — Turnos 7×7</w:t>
            </w:r>
          </w:p>
        </w:tc>
        <w:tc>
          <w:tcPr>
            <w:tcW w:w="3827" w:type="dxa"/>
            <w:shd w:val="clear" w:color="auto" w:fill="EAF2F8"/>
            <w:tcMar>
              <w:top w:w="80" w:type="dxa"/>
              <w:left w:w="120" w:type="dxa"/>
              <w:bottom w:w="80" w:type="dxa"/>
              <w:right w:w="120" w:type="dxa"/>
            </w:tcMar>
            <w:vAlign w:val="center"/>
          </w:tcPr>
          <w:p w14:paraId="529B8F08" w14:textId="77777777" w:rsidR="008D3AF5" w:rsidRPr="00C81CC3" w:rsidRDefault="00000000" w:rsidP="004726E2">
            <w:pPr>
              <w:spacing w:line="276" w:lineRule="auto"/>
              <w:jc w:val="both"/>
              <w:rPr>
                <w:rFonts w:ascii="Calibri" w:hAnsi="Calibri" w:cs="Calibri"/>
                <w:sz w:val="18"/>
                <w:szCs w:val="18"/>
              </w:rPr>
            </w:pPr>
            <w:r w:rsidRPr="00C81CC3">
              <w:rPr>
                <w:rFonts w:ascii="Calibri" w:hAnsi="Calibri" w:cs="Calibri"/>
                <w:color w:val="1A1A1A"/>
                <w:sz w:val="18"/>
                <w:szCs w:val="18"/>
              </w:rPr>
              <w:t>Disrupción circadiana crónica: supresión de melatonina, alteración del eje HPA (cortisol), reducción de ondas delta en sueño reparador. Aceleración del acortamiento telomérico (marcador biológico de envejecimiento celular).</w:t>
            </w:r>
          </w:p>
        </w:tc>
        <w:tc>
          <w:tcPr>
            <w:tcW w:w="4111" w:type="dxa"/>
            <w:shd w:val="clear" w:color="auto" w:fill="EAF2F8"/>
            <w:tcMar>
              <w:top w:w="80" w:type="dxa"/>
              <w:left w:w="120" w:type="dxa"/>
              <w:bottom w:w="80" w:type="dxa"/>
              <w:right w:w="120" w:type="dxa"/>
            </w:tcMar>
            <w:vAlign w:val="center"/>
          </w:tcPr>
          <w:p w14:paraId="34CB08D0" w14:textId="160E5674" w:rsidR="008D3AF5" w:rsidRPr="00C81CC3" w:rsidRDefault="00C81CC3" w:rsidP="004726E2">
            <w:pPr>
              <w:spacing w:line="276" w:lineRule="auto"/>
              <w:jc w:val="both"/>
              <w:rPr>
                <w:rFonts w:ascii="Calibri" w:hAnsi="Calibri" w:cs="Calibri"/>
                <w:sz w:val="18"/>
                <w:szCs w:val="18"/>
              </w:rPr>
            </w:pPr>
            <w:r w:rsidRPr="00C81CC3">
              <w:rPr>
                <w:rFonts w:ascii="Calibri" w:hAnsi="Calibri" w:cs="Calibri"/>
                <w:color w:val="1A1A1A"/>
                <w:sz w:val="18"/>
                <w:szCs w:val="18"/>
                <w:lang w:val="en-US"/>
              </w:rPr>
              <w:t xml:space="preserve">Akerstedt (2003) Sleep Med Rev; Kivimäki et al. </w:t>
            </w:r>
            <w:r w:rsidRPr="00C81CC3">
              <w:rPr>
                <w:rFonts w:ascii="Calibri" w:hAnsi="Calibri" w:cs="Calibri"/>
                <w:color w:val="1A1A1A"/>
                <w:sz w:val="18"/>
                <w:szCs w:val="18"/>
              </w:rPr>
              <w:t>(2015) Lancet (meta-análisis 85.000 trabajadores turnos): OR 1.23 para enfermedad coronaria. Khaleghipour et al. (2009): reducción de 2,1 años en longitud telomérica en trabajadores de turno &gt;10 años vs. jornada diurna.</w:t>
            </w:r>
          </w:p>
        </w:tc>
      </w:tr>
      <w:tr w:rsidR="008D3AF5" w:rsidRPr="00377CFD" w14:paraId="38CF704A" w14:textId="77777777" w:rsidTr="00C81CC3">
        <w:tc>
          <w:tcPr>
            <w:tcW w:w="1838" w:type="dxa"/>
            <w:shd w:val="clear" w:color="auto" w:fill="FFFFFF"/>
            <w:tcMar>
              <w:top w:w="80" w:type="dxa"/>
              <w:left w:w="120" w:type="dxa"/>
              <w:bottom w:w="80" w:type="dxa"/>
              <w:right w:w="120" w:type="dxa"/>
            </w:tcMar>
            <w:vAlign w:val="center"/>
          </w:tcPr>
          <w:p w14:paraId="2D438462" w14:textId="77777777" w:rsidR="00C81CC3" w:rsidRDefault="00000000" w:rsidP="00C81CC3">
            <w:pPr>
              <w:spacing w:line="276" w:lineRule="auto"/>
              <w:jc w:val="center"/>
              <w:rPr>
                <w:rFonts w:ascii="Calibri" w:eastAsia="Arial Unicode MS" w:hAnsi="Calibri" w:cs="Calibri"/>
                <w:color w:val="1A1A1A"/>
                <w:sz w:val="18"/>
                <w:szCs w:val="18"/>
              </w:rPr>
            </w:pPr>
            <w:r w:rsidRPr="00C81CC3">
              <w:rPr>
                <w:rFonts w:ascii="Calibri" w:eastAsia="Arial Unicode MS" w:hAnsi="Calibri" w:cs="Calibri"/>
                <w:color w:val="1A1A1A"/>
                <w:sz w:val="18"/>
                <w:szCs w:val="18"/>
              </w:rPr>
              <w:t>C — Trabajo nocturno</w:t>
            </w:r>
          </w:p>
          <w:p w14:paraId="51D0699C" w14:textId="123A6551" w:rsidR="008D3AF5" w:rsidRPr="00C81CC3" w:rsidRDefault="00000000" w:rsidP="00C81CC3">
            <w:pPr>
              <w:spacing w:line="276" w:lineRule="auto"/>
              <w:jc w:val="center"/>
              <w:rPr>
                <w:rFonts w:ascii="Calibri" w:hAnsi="Calibri" w:cs="Calibri"/>
                <w:sz w:val="18"/>
                <w:szCs w:val="18"/>
              </w:rPr>
            </w:pPr>
            <w:r w:rsidRPr="00C81CC3">
              <w:rPr>
                <w:rFonts w:ascii="Calibri" w:eastAsia="Arial Unicode MS" w:hAnsi="Calibri" w:cs="Calibri"/>
                <w:color w:val="1A1A1A"/>
                <w:sz w:val="18"/>
                <w:szCs w:val="18"/>
              </w:rPr>
              <w:t>(≥4 noches/semana)</w:t>
            </w:r>
          </w:p>
        </w:tc>
        <w:tc>
          <w:tcPr>
            <w:tcW w:w="3827" w:type="dxa"/>
            <w:shd w:val="clear" w:color="auto" w:fill="FFFFFF"/>
            <w:tcMar>
              <w:top w:w="80" w:type="dxa"/>
              <w:left w:w="120" w:type="dxa"/>
              <w:bottom w:w="80" w:type="dxa"/>
              <w:right w:w="120" w:type="dxa"/>
            </w:tcMar>
            <w:vAlign w:val="center"/>
          </w:tcPr>
          <w:p w14:paraId="43705B04" w14:textId="77777777" w:rsidR="008D3AF5" w:rsidRPr="00C81CC3" w:rsidRDefault="00000000" w:rsidP="004726E2">
            <w:pPr>
              <w:spacing w:line="276" w:lineRule="auto"/>
              <w:jc w:val="both"/>
              <w:rPr>
                <w:rFonts w:ascii="Calibri" w:hAnsi="Calibri" w:cs="Calibri"/>
                <w:sz w:val="18"/>
                <w:szCs w:val="18"/>
              </w:rPr>
            </w:pPr>
            <w:r w:rsidRPr="00C81CC3">
              <w:rPr>
                <w:rFonts w:ascii="Calibri" w:hAnsi="Calibri" w:cs="Calibri"/>
                <w:color w:val="1A1A1A"/>
                <w:sz w:val="18"/>
                <w:szCs w:val="18"/>
              </w:rPr>
              <w:t>Mismo mecanismo que Factor B, con evidencia específica para turnos nocturnos puros: mayor supresión melatonina (hormona oncológica protectora), mayor prevalencia de trastornos del sueño (OR 3.1), mayor riesgo de error cognitivo en actividades de vigilancia.</w:t>
            </w:r>
          </w:p>
        </w:tc>
        <w:tc>
          <w:tcPr>
            <w:tcW w:w="4111" w:type="dxa"/>
            <w:shd w:val="clear" w:color="auto" w:fill="FFFFFF"/>
            <w:tcMar>
              <w:top w:w="80" w:type="dxa"/>
              <w:left w:w="120" w:type="dxa"/>
              <w:bottom w:w="80" w:type="dxa"/>
              <w:right w:w="120" w:type="dxa"/>
            </w:tcMar>
            <w:vAlign w:val="center"/>
          </w:tcPr>
          <w:p w14:paraId="6046DDF9" w14:textId="77777777" w:rsidR="00C91C53" w:rsidRDefault="00000000" w:rsidP="004726E2">
            <w:pPr>
              <w:spacing w:line="276" w:lineRule="auto"/>
              <w:jc w:val="both"/>
              <w:rPr>
                <w:rFonts w:ascii="Calibri" w:hAnsi="Calibri" w:cs="Calibri"/>
                <w:color w:val="1A1A1A"/>
                <w:sz w:val="18"/>
                <w:szCs w:val="18"/>
              </w:rPr>
            </w:pPr>
            <w:r w:rsidRPr="00C81CC3">
              <w:rPr>
                <w:rFonts w:ascii="Calibri" w:hAnsi="Calibri" w:cs="Calibri"/>
                <w:color w:val="1A1A1A"/>
                <w:sz w:val="18"/>
                <w:szCs w:val="18"/>
              </w:rPr>
              <w:t>IARC (2019): trabajo nocturno clasificado como "posiblemente carcinogénico" (Grupo 2A).</w:t>
            </w:r>
          </w:p>
          <w:p w14:paraId="48607E05" w14:textId="19BE8D13" w:rsidR="008D3AF5" w:rsidRPr="00C81CC3" w:rsidRDefault="00000000" w:rsidP="004726E2">
            <w:pPr>
              <w:spacing w:line="276" w:lineRule="auto"/>
              <w:jc w:val="both"/>
              <w:rPr>
                <w:rFonts w:ascii="Calibri" w:hAnsi="Calibri" w:cs="Calibri"/>
                <w:sz w:val="18"/>
                <w:szCs w:val="18"/>
              </w:rPr>
            </w:pPr>
            <w:r w:rsidRPr="00C81CC3">
              <w:rPr>
                <w:rFonts w:ascii="Calibri" w:hAnsi="Calibri" w:cs="Calibri"/>
                <w:color w:val="1A1A1A"/>
                <w:sz w:val="18"/>
                <w:szCs w:val="18"/>
              </w:rPr>
              <w:t>OPS (2023) Guía Trabajo Nocturno: reducción de esperanza de vida saludable estimada en 1.8 años por cada 10 años de trabajo nocturno regular.</w:t>
            </w:r>
          </w:p>
        </w:tc>
      </w:tr>
      <w:tr w:rsidR="008D3AF5" w:rsidRPr="00377CFD" w14:paraId="3998C2C6" w14:textId="77777777" w:rsidTr="00C81CC3">
        <w:tc>
          <w:tcPr>
            <w:tcW w:w="1838" w:type="dxa"/>
            <w:shd w:val="clear" w:color="auto" w:fill="EAF2F8"/>
            <w:tcMar>
              <w:top w:w="80" w:type="dxa"/>
              <w:left w:w="120" w:type="dxa"/>
              <w:bottom w:w="80" w:type="dxa"/>
              <w:right w:w="120" w:type="dxa"/>
            </w:tcMar>
            <w:vAlign w:val="center"/>
          </w:tcPr>
          <w:p w14:paraId="0913A4FF" w14:textId="77777777" w:rsidR="008D3AF5" w:rsidRPr="00C81CC3" w:rsidRDefault="00000000" w:rsidP="00C81CC3">
            <w:pPr>
              <w:spacing w:line="276" w:lineRule="auto"/>
              <w:jc w:val="center"/>
              <w:rPr>
                <w:rFonts w:ascii="Calibri" w:hAnsi="Calibri" w:cs="Calibri"/>
                <w:sz w:val="18"/>
                <w:szCs w:val="18"/>
              </w:rPr>
            </w:pPr>
            <w:r w:rsidRPr="00C81CC3">
              <w:rPr>
                <w:rFonts w:ascii="Calibri" w:eastAsia="Arial Unicode MS" w:hAnsi="Calibri" w:cs="Calibri"/>
                <w:color w:val="1A1A1A"/>
                <w:sz w:val="18"/>
                <w:szCs w:val="18"/>
              </w:rPr>
              <w:t>D — Ruido ≥ 85 dB(A)</w:t>
            </w:r>
          </w:p>
        </w:tc>
        <w:tc>
          <w:tcPr>
            <w:tcW w:w="3827" w:type="dxa"/>
            <w:shd w:val="clear" w:color="auto" w:fill="EAF2F8"/>
            <w:tcMar>
              <w:top w:w="80" w:type="dxa"/>
              <w:left w:w="120" w:type="dxa"/>
              <w:bottom w:w="80" w:type="dxa"/>
              <w:right w:w="120" w:type="dxa"/>
            </w:tcMar>
            <w:vAlign w:val="center"/>
          </w:tcPr>
          <w:p w14:paraId="51AD8382" w14:textId="77777777" w:rsidR="008D3AF5" w:rsidRPr="00C81CC3" w:rsidRDefault="00000000" w:rsidP="004726E2">
            <w:pPr>
              <w:spacing w:line="276" w:lineRule="auto"/>
              <w:jc w:val="both"/>
              <w:rPr>
                <w:rFonts w:ascii="Calibri" w:hAnsi="Calibri" w:cs="Calibri"/>
                <w:sz w:val="18"/>
                <w:szCs w:val="18"/>
              </w:rPr>
            </w:pPr>
            <w:r w:rsidRPr="00C81CC3">
              <w:rPr>
                <w:rFonts w:ascii="Calibri" w:hAnsi="Calibri" w:cs="Calibri"/>
                <w:color w:val="1A1A1A"/>
                <w:sz w:val="18"/>
                <w:szCs w:val="18"/>
              </w:rPr>
              <w:t>Daño coclear irreversible (células ciliadas externas) por excitotoxicidad glutamatérgica. Hipoacusia neurosensorial permanente progresiva. Evidencia reciente: el ruido sobre 85 dB(A) también aumenta cortisol sérico y presión arterial sistólica independientemente del daño auditivo directo.</w:t>
            </w:r>
          </w:p>
        </w:tc>
        <w:tc>
          <w:tcPr>
            <w:tcW w:w="4111" w:type="dxa"/>
            <w:shd w:val="clear" w:color="auto" w:fill="EAF2F8"/>
            <w:tcMar>
              <w:top w:w="80" w:type="dxa"/>
              <w:left w:w="120" w:type="dxa"/>
              <w:bottom w:w="80" w:type="dxa"/>
              <w:right w:w="120" w:type="dxa"/>
            </w:tcMar>
            <w:vAlign w:val="center"/>
          </w:tcPr>
          <w:p w14:paraId="57CE79EF" w14:textId="77777777" w:rsidR="00C91C53" w:rsidRDefault="00000000" w:rsidP="004726E2">
            <w:pPr>
              <w:spacing w:line="276" w:lineRule="auto"/>
              <w:jc w:val="both"/>
              <w:rPr>
                <w:rFonts w:ascii="Calibri" w:hAnsi="Calibri" w:cs="Calibri"/>
                <w:color w:val="1A1A1A"/>
                <w:sz w:val="18"/>
                <w:szCs w:val="18"/>
              </w:rPr>
            </w:pPr>
            <w:r w:rsidRPr="00C81CC3">
              <w:rPr>
                <w:rFonts w:ascii="Calibri" w:hAnsi="Calibri" w:cs="Calibri"/>
                <w:color w:val="1A1A1A"/>
                <w:sz w:val="18"/>
                <w:szCs w:val="18"/>
              </w:rPr>
              <w:t>NIOSH (2018): 22% de los trabajadores expuestos</w:t>
            </w:r>
          </w:p>
          <w:p w14:paraId="026A6A2F" w14:textId="77777777" w:rsidR="00C91C53" w:rsidRDefault="00000000" w:rsidP="004726E2">
            <w:pPr>
              <w:spacing w:line="276" w:lineRule="auto"/>
              <w:jc w:val="both"/>
              <w:rPr>
                <w:rFonts w:ascii="Calibri" w:hAnsi="Calibri" w:cs="Calibri"/>
                <w:color w:val="1A1A1A"/>
                <w:sz w:val="18"/>
                <w:szCs w:val="18"/>
              </w:rPr>
            </w:pPr>
            <w:r w:rsidRPr="00C81CC3">
              <w:rPr>
                <w:rFonts w:ascii="Calibri" w:hAnsi="Calibri" w:cs="Calibri"/>
                <w:color w:val="1A1A1A"/>
                <w:sz w:val="18"/>
                <w:szCs w:val="18"/>
              </w:rPr>
              <w:t>&gt;85 dB(A) desarrollan hipoacusia laboral significativa tras 10 años.</w:t>
            </w:r>
          </w:p>
          <w:p w14:paraId="089AE6E6" w14:textId="47783FCD" w:rsidR="008D3AF5" w:rsidRPr="00C81CC3" w:rsidRDefault="00000000" w:rsidP="004726E2">
            <w:pPr>
              <w:spacing w:line="276" w:lineRule="auto"/>
              <w:jc w:val="both"/>
              <w:rPr>
                <w:rFonts w:ascii="Calibri" w:hAnsi="Calibri" w:cs="Calibri"/>
                <w:sz w:val="18"/>
                <w:szCs w:val="18"/>
              </w:rPr>
            </w:pPr>
            <w:r w:rsidRPr="00C81CC3">
              <w:rPr>
                <w:rFonts w:ascii="Calibri" w:hAnsi="Calibri" w:cs="Calibri"/>
                <w:color w:val="1A1A1A"/>
                <w:sz w:val="18"/>
                <w:szCs w:val="18"/>
              </w:rPr>
              <w:t>SUSESO Chile (2023): hipoacusia es la 2ª EEPP más frecuente del sector minero (28,3% de las denuncias), con latencia media de 8,4 años.</w:t>
            </w:r>
          </w:p>
        </w:tc>
      </w:tr>
    </w:tbl>
    <w:p w14:paraId="2AFD76DC" w14:textId="77777777" w:rsidR="00C81CC3" w:rsidRDefault="00C81CC3">
      <w:r>
        <w:br w:type="page"/>
      </w:r>
    </w:p>
    <w:tbl>
      <w:tblPr>
        <w:tblStyle w:val="af5"/>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4394"/>
        <w:gridCol w:w="3544"/>
      </w:tblGrid>
      <w:tr w:rsidR="00C81CC3" w:rsidRPr="00377CFD" w14:paraId="28F47FBD" w14:textId="77777777" w:rsidTr="00C81CC3">
        <w:tc>
          <w:tcPr>
            <w:tcW w:w="1838" w:type="dxa"/>
            <w:shd w:val="clear" w:color="auto" w:fill="002060"/>
            <w:tcMar>
              <w:top w:w="80" w:type="dxa"/>
              <w:left w:w="120" w:type="dxa"/>
              <w:bottom w:w="80" w:type="dxa"/>
              <w:right w:w="120" w:type="dxa"/>
            </w:tcMar>
            <w:vAlign w:val="center"/>
          </w:tcPr>
          <w:p w14:paraId="00114326" w14:textId="5B83A433" w:rsidR="00C81CC3" w:rsidRPr="00C81CC3" w:rsidRDefault="00C81CC3" w:rsidP="00C81CC3">
            <w:pPr>
              <w:spacing w:line="276" w:lineRule="auto"/>
              <w:jc w:val="center"/>
              <w:rPr>
                <w:rFonts w:ascii="Calibri" w:hAnsi="Calibri" w:cs="Calibri"/>
                <w:color w:val="1A1A1A"/>
                <w:sz w:val="18"/>
                <w:szCs w:val="18"/>
                <w:lang w:val="pt-PT"/>
              </w:rPr>
            </w:pPr>
            <w:r w:rsidRPr="00C81CC3">
              <w:rPr>
                <w:rFonts w:asciiTheme="majorHAnsi" w:hAnsiTheme="majorHAnsi" w:cstheme="majorHAnsi"/>
                <w:b/>
                <w:bCs/>
                <w:color w:val="FFFFFF"/>
                <w:sz w:val="18"/>
                <w:szCs w:val="18"/>
              </w:rPr>
              <w:lastRenderedPageBreak/>
              <w:t>Factor</w:t>
            </w:r>
          </w:p>
        </w:tc>
        <w:tc>
          <w:tcPr>
            <w:tcW w:w="4394" w:type="dxa"/>
            <w:shd w:val="clear" w:color="auto" w:fill="002060"/>
            <w:tcMar>
              <w:top w:w="80" w:type="dxa"/>
              <w:left w:w="120" w:type="dxa"/>
              <w:bottom w:w="80" w:type="dxa"/>
              <w:right w:w="120" w:type="dxa"/>
            </w:tcMar>
            <w:vAlign w:val="center"/>
          </w:tcPr>
          <w:p w14:paraId="3149C6C6" w14:textId="643F18E2" w:rsidR="00C81CC3" w:rsidRPr="00C81CC3" w:rsidRDefault="00C81CC3" w:rsidP="00C81CC3">
            <w:pPr>
              <w:spacing w:line="276" w:lineRule="auto"/>
              <w:jc w:val="center"/>
              <w:rPr>
                <w:rFonts w:ascii="Calibri" w:hAnsi="Calibri" w:cs="Calibri"/>
                <w:color w:val="1A1A1A"/>
                <w:sz w:val="18"/>
                <w:szCs w:val="18"/>
              </w:rPr>
            </w:pPr>
            <w:r w:rsidRPr="00C81CC3">
              <w:rPr>
                <w:rFonts w:asciiTheme="majorHAnsi" w:hAnsiTheme="majorHAnsi" w:cstheme="majorHAnsi"/>
                <w:b/>
                <w:bCs/>
                <w:color w:val="FFFFFF"/>
                <w:sz w:val="18"/>
                <w:szCs w:val="18"/>
              </w:rPr>
              <w:t>Mecanismo fisiológico de daño</w:t>
            </w:r>
          </w:p>
        </w:tc>
        <w:tc>
          <w:tcPr>
            <w:tcW w:w="3544" w:type="dxa"/>
            <w:shd w:val="clear" w:color="auto" w:fill="002060"/>
            <w:tcMar>
              <w:top w:w="80" w:type="dxa"/>
              <w:left w:w="120" w:type="dxa"/>
              <w:bottom w:w="80" w:type="dxa"/>
              <w:right w:w="120" w:type="dxa"/>
            </w:tcMar>
            <w:vAlign w:val="center"/>
          </w:tcPr>
          <w:p w14:paraId="765B55B9" w14:textId="63AA8691" w:rsidR="00C81CC3" w:rsidRPr="00C81CC3" w:rsidRDefault="00C81CC3" w:rsidP="00C81CC3">
            <w:pPr>
              <w:spacing w:line="276" w:lineRule="auto"/>
              <w:jc w:val="center"/>
              <w:rPr>
                <w:rFonts w:ascii="Calibri" w:hAnsi="Calibri" w:cs="Calibri"/>
                <w:color w:val="1A1A1A"/>
                <w:sz w:val="18"/>
                <w:szCs w:val="18"/>
              </w:rPr>
            </w:pPr>
            <w:r w:rsidRPr="00C81CC3">
              <w:rPr>
                <w:rFonts w:asciiTheme="majorHAnsi" w:hAnsiTheme="majorHAnsi" w:cstheme="majorHAnsi"/>
                <w:b/>
                <w:bCs/>
                <w:color w:val="FFFFFF"/>
                <w:sz w:val="18"/>
                <w:szCs w:val="18"/>
              </w:rPr>
              <w:t>Evidencia científica de respaldo</w:t>
            </w:r>
          </w:p>
        </w:tc>
      </w:tr>
      <w:tr w:rsidR="00C81CC3" w:rsidRPr="00377CFD" w14:paraId="5B22F432" w14:textId="77777777" w:rsidTr="00C81CC3">
        <w:tc>
          <w:tcPr>
            <w:tcW w:w="1838" w:type="dxa"/>
            <w:shd w:val="clear" w:color="auto" w:fill="FFFFFF"/>
            <w:tcMar>
              <w:top w:w="80" w:type="dxa"/>
              <w:left w:w="120" w:type="dxa"/>
              <w:bottom w:w="80" w:type="dxa"/>
              <w:right w:w="120" w:type="dxa"/>
            </w:tcMar>
            <w:vAlign w:val="center"/>
          </w:tcPr>
          <w:p w14:paraId="3D80BDB8" w14:textId="77777777" w:rsidR="00C81CC3" w:rsidRDefault="00C81CC3" w:rsidP="00C81CC3">
            <w:pPr>
              <w:spacing w:line="276" w:lineRule="auto"/>
              <w:jc w:val="center"/>
              <w:rPr>
                <w:rFonts w:ascii="Calibri" w:hAnsi="Calibri" w:cs="Calibri"/>
                <w:color w:val="1A1A1A"/>
                <w:sz w:val="18"/>
                <w:szCs w:val="18"/>
                <w:lang w:val="pt-PT"/>
              </w:rPr>
            </w:pPr>
            <w:r w:rsidRPr="00C81CC3">
              <w:rPr>
                <w:rFonts w:ascii="Calibri" w:hAnsi="Calibri" w:cs="Calibri"/>
                <w:color w:val="1A1A1A"/>
                <w:sz w:val="18"/>
                <w:szCs w:val="18"/>
                <w:lang w:val="pt-PT"/>
              </w:rPr>
              <w:t>E — Agentes químicos</w:t>
            </w:r>
          </w:p>
          <w:p w14:paraId="3474E8C4" w14:textId="0EFB1310" w:rsidR="00C81CC3" w:rsidRPr="00C81CC3" w:rsidRDefault="00C81CC3" w:rsidP="00C81CC3">
            <w:pPr>
              <w:spacing w:line="276" w:lineRule="auto"/>
              <w:jc w:val="center"/>
              <w:rPr>
                <w:rFonts w:ascii="Calibri" w:hAnsi="Calibri" w:cs="Calibri"/>
                <w:sz w:val="18"/>
                <w:szCs w:val="18"/>
                <w:lang w:val="pt-PT"/>
              </w:rPr>
            </w:pPr>
            <w:r w:rsidRPr="00C81CC3">
              <w:rPr>
                <w:rFonts w:ascii="Calibri" w:hAnsi="Calibri" w:cs="Calibri"/>
                <w:color w:val="1A1A1A"/>
                <w:sz w:val="18"/>
                <w:szCs w:val="18"/>
                <w:lang w:val="pt-PT"/>
              </w:rPr>
              <w:t>SGA 1-2 / sílice &gt;10%</w:t>
            </w:r>
          </w:p>
        </w:tc>
        <w:tc>
          <w:tcPr>
            <w:tcW w:w="4394" w:type="dxa"/>
            <w:shd w:val="clear" w:color="auto" w:fill="FFFFFF"/>
            <w:tcMar>
              <w:top w:w="80" w:type="dxa"/>
              <w:left w:w="120" w:type="dxa"/>
              <w:bottom w:w="80" w:type="dxa"/>
              <w:right w:w="120" w:type="dxa"/>
            </w:tcMar>
            <w:vAlign w:val="center"/>
          </w:tcPr>
          <w:p w14:paraId="041281F2" w14:textId="77777777" w:rsidR="00C81CC3" w:rsidRPr="00C81CC3" w:rsidRDefault="00C81CC3" w:rsidP="00C81CC3">
            <w:pPr>
              <w:spacing w:line="276" w:lineRule="auto"/>
              <w:jc w:val="both"/>
              <w:rPr>
                <w:rFonts w:ascii="Calibri" w:hAnsi="Calibri" w:cs="Calibri"/>
                <w:sz w:val="18"/>
                <w:szCs w:val="18"/>
              </w:rPr>
            </w:pPr>
            <w:r w:rsidRPr="00C81CC3">
              <w:rPr>
                <w:rFonts w:ascii="Calibri" w:hAnsi="Calibri" w:cs="Calibri"/>
                <w:color w:val="1A1A1A"/>
                <w:sz w:val="18"/>
                <w:szCs w:val="18"/>
              </w:rPr>
              <w:t>Sílice: fibrosis pulmonar irreversible (silicosis nodular, conglomerativa), riesgo aumentado de TBC y cáncer de pulmón. Agentes SGA 1-2: efecto sistémico multiorgánico según el agente específico (hepatotóxico, nefrotóxico, neurotóxico).</w:t>
            </w:r>
          </w:p>
        </w:tc>
        <w:tc>
          <w:tcPr>
            <w:tcW w:w="3544" w:type="dxa"/>
            <w:shd w:val="clear" w:color="auto" w:fill="FFFFFF"/>
            <w:tcMar>
              <w:top w:w="80" w:type="dxa"/>
              <w:left w:w="120" w:type="dxa"/>
              <w:bottom w:w="80" w:type="dxa"/>
              <w:right w:w="120" w:type="dxa"/>
            </w:tcMar>
            <w:vAlign w:val="center"/>
          </w:tcPr>
          <w:p w14:paraId="565A48AD" w14:textId="77777777" w:rsidR="00C91C53" w:rsidRDefault="00C81CC3" w:rsidP="00C81CC3">
            <w:pPr>
              <w:spacing w:line="276" w:lineRule="auto"/>
              <w:jc w:val="both"/>
              <w:rPr>
                <w:rFonts w:ascii="Calibri" w:hAnsi="Calibri" w:cs="Calibri"/>
                <w:color w:val="1A1A1A"/>
                <w:sz w:val="18"/>
                <w:szCs w:val="18"/>
              </w:rPr>
            </w:pPr>
            <w:r w:rsidRPr="00C81CC3">
              <w:rPr>
                <w:rFonts w:ascii="Calibri" w:hAnsi="Calibri" w:cs="Calibri"/>
                <w:color w:val="1A1A1A"/>
                <w:sz w:val="18"/>
                <w:szCs w:val="18"/>
              </w:rPr>
              <w:t>IARC (2012): sílice cristalina inhalada clasificada Grupo 1 (carcinógeno humano confirmado).</w:t>
            </w:r>
          </w:p>
          <w:p w14:paraId="550FD31D" w14:textId="60A2FCC6" w:rsidR="00C81CC3" w:rsidRPr="00C81CC3" w:rsidRDefault="00C81CC3" w:rsidP="00C81CC3">
            <w:pPr>
              <w:spacing w:line="276" w:lineRule="auto"/>
              <w:jc w:val="both"/>
              <w:rPr>
                <w:rFonts w:ascii="Calibri" w:hAnsi="Calibri" w:cs="Calibri"/>
                <w:sz w:val="18"/>
                <w:szCs w:val="18"/>
              </w:rPr>
            </w:pPr>
            <w:r w:rsidRPr="00C81CC3">
              <w:rPr>
                <w:rFonts w:ascii="Calibri" w:hAnsi="Calibri" w:cs="Calibri"/>
                <w:color w:val="1A1A1A"/>
                <w:sz w:val="18"/>
                <w:szCs w:val="18"/>
              </w:rPr>
              <w:t>ISP Chile (2022): prevalencia silicosis en minería del norte: 4.1% (9× mayor que el promedio nacional). Incapacidad laboral media: 7 años antes de la edad normal de jubilación.</w:t>
            </w:r>
          </w:p>
        </w:tc>
      </w:tr>
      <w:tr w:rsidR="00C81CC3" w:rsidRPr="00377CFD" w14:paraId="2E2A942D" w14:textId="77777777" w:rsidTr="00C81CC3">
        <w:tc>
          <w:tcPr>
            <w:tcW w:w="1838" w:type="dxa"/>
            <w:shd w:val="clear" w:color="auto" w:fill="EAF2F8"/>
            <w:tcMar>
              <w:top w:w="80" w:type="dxa"/>
              <w:left w:w="120" w:type="dxa"/>
              <w:bottom w:w="80" w:type="dxa"/>
              <w:right w:w="120" w:type="dxa"/>
            </w:tcMar>
            <w:vAlign w:val="center"/>
          </w:tcPr>
          <w:p w14:paraId="66FF1B3F" w14:textId="77777777" w:rsidR="00C81CC3" w:rsidRPr="00C81CC3" w:rsidRDefault="00C81CC3" w:rsidP="00C81CC3">
            <w:pPr>
              <w:spacing w:line="276" w:lineRule="auto"/>
              <w:jc w:val="center"/>
              <w:rPr>
                <w:rFonts w:ascii="Calibri" w:hAnsi="Calibri" w:cs="Calibri"/>
                <w:sz w:val="18"/>
                <w:szCs w:val="18"/>
              </w:rPr>
            </w:pPr>
            <w:r w:rsidRPr="00C81CC3">
              <w:rPr>
                <w:rFonts w:ascii="Calibri" w:eastAsia="Arial Unicode MS" w:hAnsi="Calibri" w:cs="Calibri"/>
                <w:color w:val="1A1A1A"/>
                <w:sz w:val="18"/>
                <w:szCs w:val="18"/>
              </w:rPr>
              <w:t>F — Riesgo TME REBA/RULA ≥3</w:t>
            </w:r>
          </w:p>
        </w:tc>
        <w:tc>
          <w:tcPr>
            <w:tcW w:w="4394" w:type="dxa"/>
            <w:shd w:val="clear" w:color="auto" w:fill="EAF2F8"/>
            <w:tcMar>
              <w:top w:w="80" w:type="dxa"/>
              <w:left w:w="120" w:type="dxa"/>
              <w:bottom w:w="80" w:type="dxa"/>
              <w:right w:w="120" w:type="dxa"/>
            </w:tcMar>
            <w:vAlign w:val="center"/>
          </w:tcPr>
          <w:p w14:paraId="63C52E1B" w14:textId="77777777" w:rsidR="00C81CC3" w:rsidRPr="00C81CC3" w:rsidRDefault="00C81CC3" w:rsidP="00C81CC3">
            <w:pPr>
              <w:spacing w:line="276" w:lineRule="auto"/>
              <w:jc w:val="both"/>
              <w:rPr>
                <w:rFonts w:ascii="Calibri" w:hAnsi="Calibri" w:cs="Calibri"/>
                <w:sz w:val="18"/>
                <w:szCs w:val="18"/>
              </w:rPr>
            </w:pPr>
            <w:r w:rsidRPr="00C81CC3">
              <w:rPr>
                <w:rFonts w:ascii="Calibri" w:hAnsi="Calibri" w:cs="Calibri"/>
                <w:color w:val="1A1A1A"/>
                <w:sz w:val="18"/>
                <w:szCs w:val="18"/>
              </w:rPr>
              <w:t>Degradación del cartílago articular por carga mecánica repetitiva. Compresión discal lumbar: reducción del núcleo pulposo, protrusión y hernia discal. Tendinopatías por sobrecarga. Síndrome del túnel carpiano.</w:t>
            </w:r>
          </w:p>
        </w:tc>
        <w:tc>
          <w:tcPr>
            <w:tcW w:w="3544" w:type="dxa"/>
            <w:shd w:val="clear" w:color="auto" w:fill="EAF2F8"/>
            <w:tcMar>
              <w:top w:w="80" w:type="dxa"/>
              <w:left w:w="120" w:type="dxa"/>
              <w:bottom w:w="80" w:type="dxa"/>
              <w:right w:w="120" w:type="dxa"/>
            </w:tcMar>
            <w:vAlign w:val="center"/>
          </w:tcPr>
          <w:p w14:paraId="00FFA883" w14:textId="77777777" w:rsidR="00C91C53" w:rsidRDefault="00C81CC3" w:rsidP="00C81CC3">
            <w:pPr>
              <w:spacing w:line="276" w:lineRule="auto"/>
              <w:jc w:val="both"/>
              <w:rPr>
                <w:rFonts w:ascii="Calibri" w:eastAsia="Arial Unicode MS" w:hAnsi="Calibri" w:cs="Calibri"/>
                <w:color w:val="1A1A1A"/>
                <w:sz w:val="18"/>
                <w:szCs w:val="18"/>
              </w:rPr>
            </w:pPr>
            <w:r w:rsidRPr="00C81CC3">
              <w:rPr>
                <w:rFonts w:ascii="Calibri" w:eastAsia="Arial Unicode MS" w:hAnsi="Calibri" w:cs="Calibri"/>
                <w:color w:val="1A1A1A"/>
                <w:sz w:val="18"/>
                <w:szCs w:val="18"/>
              </w:rPr>
              <w:t>NIOSH (2021): trabajadores con nivel acción REBA ≥3 presentan OR 2.8 para lumbalgia crónica discapacitante.</w:t>
            </w:r>
          </w:p>
          <w:p w14:paraId="12355BF8" w14:textId="77777777" w:rsidR="00C91C53" w:rsidRDefault="00C81CC3" w:rsidP="00C81CC3">
            <w:pPr>
              <w:spacing w:line="276" w:lineRule="auto"/>
              <w:jc w:val="both"/>
              <w:rPr>
                <w:rFonts w:ascii="Calibri" w:eastAsia="Arial Unicode MS" w:hAnsi="Calibri" w:cs="Calibri"/>
                <w:color w:val="1A1A1A"/>
                <w:sz w:val="18"/>
                <w:szCs w:val="18"/>
              </w:rPr>
            </w:pPr>
            <w:r w:rsidRPr="00C81CC3">
              <w:rPr>
                <w:rFonts w:ascii="Calibri" w:eastAsia="Arial Unicode MS" w:hAnsi="Calibri" w:cs="Calibri"/>
                <w:color w:val="1A1A1A"/>
                <w:sz w:val="18"/>
                <w:szCs w:val="18"/>
              </w:rPr>
              <w:t>Bongers et al. (2002): 63% de las TME ocupacionales se desarrollan en trabajos con nivel de acción equivalente ≥3 y carga &gt; 15 kg repetitiva.</w:t>
            </w:r>
          </w:p>
          <w:p w14:paraId="1E86A311" w14:textId="2416006D" w:rsidR="00C81CC3" w:rsidRPr="00C81CC3" w:rsidRDefault="00C81CC3" w:rsidP="00C81CC3">
            <w:pPr>
              <w:spacing w:line="276" w:lineRule="auto"/>
              <w:jc w:val="both"/>
              <w:rPr>
                <w:rFonts w:ascii="Calibri" w:hAnsi="Calibri" w:cs="Calibri"/>
                <w:sz w:val="18"/>
                <w:szCs w:val="18"/>
              </w:rPr>
            </w:pPr>
            <w:r w:rsidRPr="00C81CC3">
              <w:rPr>
                <w:rFonts w:ascii="Calibri" w:eastAsia="Arial Unicode MS" w:hAnsi="Calibri" w:cs="Calibri"/>
                <w:color w:val="1A1A1A"/>
                <w:sz w:val="18"/>
                <w:szCs w:val="18"/>
              </w:rPr>
              <w:t>ISP Chile (2022): TME representa el 41% de las licencias médicas en minería.</w:t>
            </w:r>
          </w:p>
        </w:tc>
      </w:tr>
      <w:tr w:rsidR="00C81CC3" w:rsidRPr="00377CFD" w14:paraId="6AA7D592" w14:textId="77777777" w:rsidTr="00C81CC3">
        <w:tc>
          <w:tcPr>
            <w:tcW w:w="1838" w:type="dxa"/>
            <w:shd w:val="clear" w:color="auto" w:fill="FFFFFF"/>
            <w:tcMar>
              <w:top w:w="80" w:type="dxa"/>
              <w:left w:w="120" w:type="dxa"/>
              <w:bottom w:w="80" w:type="dxa"/>
              <w:right w:w="120" w:type="dxa"/>
            </w:tcMar>
            <w:vAlign w:val="center"/>
          </w:tcPr>
          <w:p w14:paraId="32834363" w14:textId="77777777" w:rsidR="00C81CC3" w:rsidRPr="00C81CC3" w:rsidRDefault="00C81CC3" w:rsidP="00C81CC3">
            <w:pPr>
              <w:spacing w:line="276" w:lineRule="auto"/>
              <w:jc w:val="center"/>
              <w:rPr>
                <w:rFonts w:ascii="Calibri" w:hAnsi="Calibri" w:cs="Calibri"/>
                <w:sz w:val="18"/>
                <w:szCs w:val="18"/>
              </w:rPr>
            </w:pPr>
            <w:r w:rsidRPr="00C81CC3">
              <w:rPr>
                <w:rFonts w:ascii="Calibri" w:hAnsi="Calibri" w:cs="Calibri"/>
                <w:color w:val="1A1A1A"/>
                <w:sz w:val="18"/>
                <w:szCs w:val="18"/>
              </w:rPr>
              <w:t>G — Jornada excepcional &gt;56h/semana en campamento</w:t>
            </w:r>
          </w:p>
        </w:tc>
        <w:tc>
          <w:tcPr>
            <w:tcW w:w="4394" w:type="dxa"/>
            <w:shd w:val="clear" w:color="auto" w:fill="FFFFFF"/>
            <w:tcMar>
              <w:top w:w="80" w:type="dxa"/>
              <w:left w:w="120" w:type="dxa"/>
              <w:bottom w:w="80" w:type="dxa"/>
              <w:right w:w="120" w:type="dxa"/>
            </w:tcMar>
            <w:vAlign w:val="center"/>
          </w:tcPr>
          <w:p w14:paraId="70BCF9EA" w14:textId="77777777" w:rsidR="00C81CC3" w:rsidRPr="00C81CC3" w:rsidRDefault="00C81CC3" w:rsidP="00C81CC3">
            <w:pPr>
              <w:spacing w:line="276" w:lineRule="auto"/>
              <w:jc w:val="both"/>
              <w:rPr>
                <w:rFonts w:ascii="Calibri" w:hAnsi="Calibri" w:cs="Calibri"/>
                <w:sz w:val="18"/>
                <w:szCs w:val="18"/>
              </w:rPr>
            </w:pPr>
            <w:r w:rsidRPr="00C81CC3">
              <w:rPr>
                <w:rFonts w:ascii="Calibri" w:hAnsi="Calibri" w:cs="Calibri"/>
                <w:color w:val="1A1A1A"/>
                <w:sz w:val="18"/>
                <w:szCs w:val="18"/>
              </w:rPr>
              <w:t>Acumulación sinérgica de los efectos de Factores B y C, potenciada por el aislamiento geosocial (privación de red de apoyo familiar, restricción de conductas protectoras de salud), sedentarismo en días de trabajo, y dieta hipercalórica de campamento.</w:t>
            </w:r>
          </w:p>
        </w:tc>
        <w:tc>
          <w:tcPr>
            <w:tcW w:w="3544" w:type="dxa"/>
            <w:shd w:val="clear" w:color="auto" w:fill="FFFFFF"/>
            <w:tcMar>
              <w:top w:w="80" w:type="dxa"/>
              <w:left w:w="120" w:type="dxa"/>
              <w:bottom w:w="80" w:type="dxa"/>
              <w:right w:w="120" w:type="dxa"/>
            </w:tcMar>
            <w:vAlign w:val="center"/>
          </w:tcPr>
          <w:p w14:paraId="5C84B288" w14:textId="77777777" w:rsidR="00C91C53" w:rsidRDefault="00C81CC3" w:rsidP="00C81CC3">
            <w:pPr>
              <w:spacing w:line="276" w:lineRule="auto"/>
              <w:jc w:val="both"/>
              <w:rPr>
                <w:rFonts w:ascii="Calibri" w:hAnsi="Calibri" w:cs="Calibri"/>
                <w:color w:val="1A1A1A"/>
                <w:sz w:val="18"/>
                <w:szCs w:val="18"/>
                <w:lang w:val="pt-PT"/>
              </w:rPr>
            </w:pPr>
            <w:r w:rsidRPr="00C81CC3">
              <w:rPr>
                <w:rFonts w:ascii="Calibri" w:hAnsi="Calibri" w:cs="Calibri"/>
                <w:color w:val="1A1A1A"/>
                <w:sz w:val="18"/>
                <w:szCs w:val="18"/>
                <w:lang w:val="pt-PT"/>
              </w:rPr>
              <w:t>Caruso (2014) Am J Ind Med: jornadas &gt;55h/semana OR 1.66 para ACV.</w:t>
            </w:r>
          </w:p>
          <w:p w14:paraId="1CCC74C1" w14:textId="69C1F055" w:rsidR="00C81CC3" w:rsidRPr="00C81CC3" w:rsidRDefault="00C81CC3" w:rsidP="00C81CC3">
            <w:pPr>
              <w:spacing w:line="276" w:lineRule="auto"/>
              <w:jc w:val="both"/>
              <w:rPr>
                <w:rFonts w:ascii="Calibri" w:hAnsi="Calibri" w:cs="Calibri"/>
                <w:sz w:val="18"/>
                <w:szCs w:val="18"/>
              </w:rPr>
            </w:pPr>
            <w:r w:rsidRPr="00C81CC3">
              <w:rPr>
                <w:rFonts w:ascii="Calibri" w:hAnsi="Calibri" w:cs="Calibri"/>
                <w:color w:val="1A1A1A"/>
                <w:sz w:val="18"/>
                <w:szCs w:val="18"/>
              </w:rPr>
              <w:t>Dembe et al. (2005): trabajadores en faenas remotas con permanencia prolongada tienen 37% mayor probabilidad de accidente laboral por fatiga acumulada en comparación con trabajadores de turno estándar de igual exposición.</w:t>
            </w:r>
          </w:p>
        </w:tc>
      </w:tr>
    </w:tbl>
    <w:p w14:paraId="43B92A7D" w14:textId="77777777" w:rsidR="008D3AF5" w:rsidRPr="00377CFD" w:rsidRDefault="00000000" w:rsidP="004726E2">
      <w:pPr>
        <w:jc w:val="both"/>
        <w:rPr>
          <w:rFonts w:asciiTheme="majorHAnsi" w:hAnsiTheme="majorHAnsi" w:cstheme="majorHAnsi"/>
          <w:sz w:val="20"/>
          <w:szCs w:val="20"/>
        </w:rPr>
      </w:pPr>
      <w:r w:rsidRPr="00377CFD">
        <w:rPr>
          <w:rFonts w:asciiTheme="majorHAnsi" w:hAnsiTheme="majorHAnsi" w:cstheme="majorHAnsi"/>
          <w:sz w:val="20"/>
          <w:szCs w:val="20"/>
        </w:rPr>
        <w:br w:type="page"/>
      </w:r>
    </w:p>
    <w:p w14:paraId="319FDF31" w14:textId="77777777" w:rsidR="008D3AF5" w:rsidRPr="00377CFD" w:rsidRDefault="00000000" w:rsidP="004726E2">
      <w:pPr>
        <w:pStyle w:val="Ttulo1"/>
        <w:pBdr>
          <w:bottom w:val="single" w:sz="10" w:space="0" w:color="C8922A"/>
        </w:pBdr>
        <w:jc w:val="both"/>
        <w:rPr>
          <w:rFonts w:asciiTheme="majorHAnsi" w:hAnsiTheme="majorHAnsi" w:cstheme="majorHAnsi"/>
          <w:sz w:val="20"/>
          <w:szCs w:val="20"/>
        </w:rPr>
      </w:pPr>
      <w:bookmarkStart w:id="23" w:name="_Toc228400951"/>
      <w:r w:rsidRPr="00377CFD">
        <w:rPr>
          <w:rFonts w:asciiTheme="majorHAnsi" w:hAnsiTheme="majorHAnsi" w:cstheme="majorHAnsi"/>
          <w:sz w:val="20"/>
          <w:szCs w:val="20"/>
        </w:rPr>
        <w:lastRenderedPageBreak/>
        <w:t>VI. CONSIDERACIONES DE VIABILIDAD POLÍTICA Y ADMINISTRATIVA</w:t>
      </w:r>
      <w:bookmarkEnd w:id="23"/>
    </w:p>
    <w:p w14:paraId="5D423636" w14:textId="77777777" w:rsidR="008D3AF5" w:rsidRPr="00377CFD" w:rsidRDefault="00000000" w:rsidP="004726E2">
      <w:pPr>
        <w:pStyle w:val="Ttulo2"/>
        <w:jc w:val="both"/>
        <w:rPr>
          <w:rFonts w:asciiTheme="majorHAnsi" w:hAnsiTheme="majorHAnsi" w:cstheme="majorHAnsi"/>
          <w:sz w:val="20"/>
          <w:szCs w:val="20"/>
        </w:rPr>
      </w:pPr>
      <w:bookmarkStart w:id="24" w:name="_Toc228400952"/>
      <w:r w:rsidRPr="00377CFD">
        <w:rPr>
          <w:rFonts w:asciiTheme="majorHAnsi" w:hAnsiTheme="majorHAnsi" w:cstheme="majorHAnsi"/>
          <w:sz w:val="20"/>
          <w:szCs w:val="20"/>
        </w:rPr>
        <w:t>6.1 Objeciones Previsibles y Respuestas Técnicas</w:t>
      </w:r>
      <w:bookmarkEnd w:id="24"/>
    </w:p>
    <w:p w14:paraId="5026A689"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Toda reforma al sistema de trabajo pesado genera resistencias desde actores institucionales con intereses legítimos que deben ser anticipados y atendidos. El siguiente análisis identifica las principales objeciones y propone respuestas que equilibren automatización con flexibilidad:</w:t>
      </w:r>
    </w:p>
    <w:p w14:paraId="75CFA557" w14:textId="77777777" w:rsidR="008D3AF5" w:rsidRPr="00C91C53"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0ADC39D1" w14:textId="54A56980" w:rsidR="008D3AF5" w:rsidRDefault="005831F5" w:rsidP="005831F5">
      <w:pPr>
        <w:pStyle w:val="Ttulo3"/>
        <w:rPr>
          <w:rFonts w:ascii="Calibri" w:hAnsi="Calibri" w:cs="Calibri"/>
          <w:color w:val="4F81BD" w:themeColor="accent1"/>
          <w:sz w:val="20"/>
          <w:szCs w:val="20"/>
        </w:rPr>
      </w:pPr>
      <w:bookmarkStart w:id="25" w:name="_Toc228400953"/>
      <w:r w:rsidRPr="005831F5">
        <w:rPr>
          <w:rFonts w:ascii="Calibri" w:hAnsi="Calibri" w:cs="Calibri"/>
          <w:color w:val="4F81BD" w:themeColor="accent1"/>
          <w:sz w:val="20"/>
          <w:szCs w:val="20"/>
        </w:rPr>
        <w:t>CEN</w:t>
      </w:r>
      <w:r w:rsidR="006B25C7">
        <w:rPr>
          <w:rFonts w:ascii="Calibri" w:hAnsi="Calibri" w:cs="Calibri"/>
          <w:color w:val="4F81BD" w:themeColor="accent1"/>
          <w:sz w:val="20"/>
          <w:szCs w:val="20"/>
        </w:rPr>
        <w:t>: Comisión Ergonómica Nacional</w:t>
      </w:r>
      <w:bookmarkEnd w:id="25"/>
    </w:p>
    <w:p w14:paraId="1A3D5DAC" w14:textId="77777777" w:rsidR="006B25C7" w:rsidRPr="005831F5" w:rsidRDefault="006B25C7" w:rsidP="006B25C7">
      <w:pPr>
        <w:pStyle w:val="Ttulo3"/>
        <w:jc w:val="both"/>
        <w:rPr>
          <w:rFonts w:ascii="Calibri" w:hAnsi="Calibri" w:cs="Calibri"/>
          <w:b w:val="0"/>
          <w:bCs w:val="0"/>
          <w:color w:val="auto"/>
          <w:sz w:val="20"/>
          <w:szCs w:val="20"/>
        </w:rPr>
      </w:pPr>
      <w:bookmarkStart w:id="26" w:name="_Toc228400954"/>
      <w:r w:rsidRPr="005831F5">
        <w:rPr>
          <w:rFonts w:ascii="Calibri" w:hAnsi="Calibri" w:cs="Calibri"/>
          <w:b w:val="0"/>
          <w:bCs w:val="0"/>
          <w:color w:val="auto"/>
          <w:sz w:val="20"/>
          <w:szCs w:val="20"/>
        </w:rPr>
        <w:t>Organismo técnico autónomo con 30 años de expertise. Percibe la automatización como una amenaza a su legitimidad institucional y a la calidad técnica del sistema.</w:t>
      </w:r>
      <w:bookmarkEnd w:id="26"/>
    </w:p>
    <w:p w14:paraId="234B4907" w14:textId="3F3F57F1" w:rsidR="006B25C7" w:rsidRDefault="006B25C7" w:rsidP="006B25C7">
      <w:pPr>
        <w:jc w:val="both"/>
        <w:rPr>
          <w:rFonts w:ascii="Calibri" w:hAnsi="Calibri" w:cs="Calibri"/>
          <w:b/>
          <w:bCs/>
          <w:sz w:val="20"/>
          <w:szCs w:val="20"/>
        </w:rPr>
      </w:pPr>
      <w:r w:rsidRPr="005831F5">
        <w:rPr>
          <w:rFonts w:ascii="Calibri" w:hAnsi="Calibri" w:cs="Calibri"/>
          <w:b/>
          <w:bCs/>
          <w:sz w:val="20"/>
          <w:szCs w:val="20"/>
        </w:rPr>
        <w:t>Resistencia: alta — carácter institucional / de identidad</w:t>
      </w:r>
    </w:p>
    <w:p w14:paraId="05111188" w14:textId="77777777" w:rsidR="006B25C7" w:rsidRPr="006B25C7" w:rsidRDefault="006B25C7" w:rsidP="006B25C7"/>
    <w:tbl>
      <w:tblPr>
        <w:tblStyle w:val="Tablaconcuadrcula"/>
        <w:tblW w:w="0" w:type="auto"/>
        <w:tblLook w:val="04A0" w:firstRow="1" w:lastRow="0" w:firstColumn="1" w:lastColumn="0" w:noHBand="0" w:noVBand="1"/>
      </w:tblPr>
      <w:tblGrid>
        <w:gridCol w:w="4945"/>
        <w:gridCol w:w="4945"/>
      </w:tblGrid>
      <w:tr w:rsidR="005831F5" w14:paraId="46375932" w14:textId="77777777" w:rsidTr="009F63CA">
        <w:tc>
          <w:tcPr>
            <w:tcW w:w="4945" w:type="dxa"/>
            <w:shd w:val="clear" w:color="auto" w:fill="002060"/>
            <w:vAlign w:val="center"/>
          </w:tcPr>
          <w:p w14:paraId="5761A1E4" w14:textId="2BE087A8" w:rsidR="005831F5" w:rsidRPr="005831F5" w:rsidRDefault="005831F5" w:rsidP="005831F5">
            <w:pPr>
              <w:spacing w:after="100"/>
              <w:jc w:val="center"/>
              <w:rPr>
                <w:rFonts w:asciiTheme="majorHAnsi" w:hAnsiTheme="majorHAnsi" w:cstheme="majorHAnsi"/>
                <w:b/>
                <w:bCs/>
                <w:sz w:val="18"/>
                <w:szCs w:val="18"/>
              </w:rPr>
            </w:pPr>
            <w:r w:rsidRPr="005831F5">
              <w:rPr>
                <w:rFonts w:asciiTheme="majorHAnsi" w:hAnsiTheme="majorHAnsi" w:cstheme="majorHAnsi"/>
                <w:b/>
                <w:bCs/>
                <w:sz w:val="18"/>
                <w:szCs w:val="18"/>
              </w:rPr>
              <w:t>Objeción Esperada</w:t>
            </w:r>
          </w:p>
        </w:tc>
        <w:tc>
          <w:tcPr>
            <w:tcW w:w="4945" w:type="dxa"/>
            <w:shd w:val="clear" w:color="auto" w:fill="002060"/>
            <w:vAlign w:val="center"/>
          </w:tcPr>
          <w:p w14:paraId="578C8E2E" w14:textId="3C1D3E7C" w:rsidR="005831F5" w:rsidRPr="005831F5" w:rsidRDefault="005831F5" w:rsidP="005831F5">
            <w:pPr>
              <w:spacing w:after="100"/>
              <w:jc w:val="center"/>
              <w:rPr>
                <w:rFonts w:asciiTheme="majorHAnsi" w:hAnsiTheme="majorHAnsi" w:cstheme="majorHAnsi"/>
                <w:b/>
                <w:bCs/>
                <w:sz w:val="18"/>
                <w:szCs w:val="18"/>
              </w:rPr>
            </w:pPr>
            <w:r w:rsidRPr="005831F5">
              <w:rPr>
                <w:rFonts w:asciiTheme="majorHAnsi" w:hAnsiTheme="majorHAnsi" w:cstheme="majorHAnsi"/>
                <w:b/>
                <w:bCs/>
                <w:color w:val="FFFFFF"/>
                <w:sz w:val="18"/>
                <w:szCs w:val="18"/>
              </w:rPr>
              <w:t>Respuesta Propuesta</w:t>
            </w:r>
          </w:p>
        </w:tc>
      </w:tr>
      <w:tr w:rsidR="005831F5" w14:paraId="080276EE" w14:textId="77777777" w:rsidTr="005831F5">
        <w:tc>
          <w:tcPr>
            <w:tcW w:w="4945" w:type="dxa"/>
          </w:tcPr>
          <w:p w14:paraId="2EBE0054" w14:textId="77777777" w:rsidR="005831F5" w:rsidRPr="006B25C7" w:rsidRDefault="005831F5" w:rsidP="004726E2">
            <w:pPr>
              <w:spacing w:after="100"/>
              <w:jc w:val="both"/>
              <w:rPr>
                <w:rFonts w:ascii="Calibri" w:hAnsi="Calibri" w:cs="Calibri"/>
                <w:b/>
                <w:bCs/>
                <w:sz w:val="18"/>
                <w:szCs w:val="18"/>
              </w:rPr>
            </w:pPr>
            <w:r w:rsidRPr="006B25C7">
              <w:rPr>
                <w:rFonts w:ascii="Calibri" w:hAnsi="Calibri" w:cs="Calibri"/>
                <w:b/>
                <w:bCs/>
                <w:sz w:val="18"/>
                <w:szCs w:val="18"/>
              </w:rPr>
              <w:t>Pérdida de rol técnico central</w:t>
            </w:r>
          </w:p>
          <w:p w14:paraId="5465AEE0" w14:textId="4340F9DA" w:rsidR="005831F5" w:rsidRPr="006B25C7" w:rsidRDefault="005831F5" w:rsidP="004726E2">
            <w:pPr>
              <w:spacing w:after="100"/>
              <w:jc w:val="both"/>
              <w:rPr>
                <w:rFonts w:ascii="Calibri" w:hAnsi="Calibri" w:cs="Calibri"/>
                <w:sz w:val="18"/>
                <w:szCs w:val="18"/>
              </w:rPr>
            </w:pPr>
            <w:r w:rsidRPr="006B25C7">
              <w:rPr>
                <w:rFonts w:ascii="Calibri" w:hAnsi="Calibri" w:cs="Calibri"/>
                <w:sz w:val="18"/>
                <w:szCs w:val="18"/>
              </w:rPr>
              <w:t>«La automatización hace irrelevante a la CEN y elimina la evaluación holística que garantiza la calidad del sistema. Un criterio objetivo sin contexto puede calificar puestos que no lo merecen.»</w:t>
            </w:r>
          </w:p>
        </w:tc>
        <w:tc>
          <w:tcPr>
            <w:tcW w:w="4945" w:type="dxa"/>
          </w:tcPr>
          <w:p w14:paraId="2119031B" w14:textId="77777777" w:rsidR="005831F5" w:rsidRPr="006B25C7" w:rsidRDefault="005831F5" w:rsidP="004726E2">
            <w:pPr>
              <w:spacing w:after="100"/>
              <w:jc w:val="both"/>
              <w:rPr>
                <w:rFonts w:ascii="Calibri" w:hAnsi="Calibri" w:cs="Calibri"/>
                <w:b/>
                <w:bCs/>
                <w:sz w:val="18"/>
                <w:szCs w:val="18"/>
              </w:rPr>
            </w:pPr>
            <w:r w:rsidRPr="006B25C7">
              <w:rPr>
                <w:rFonts w:ascii="Calibri" w:hAnsi="Calibri" w:cs="Calibri"/>
                <w:b/>
                <w:bCs/>
                <w:sz w:val="18"/>
                <w:szCs w:val="18"/>
              </w:rPr>
              <w:t>Reposicionamiento estratégico, no eliminación</w:t>
            </w:r>
          </w:p>
          <w:p w14:paraId="5BF2ADCD" w14:textId="665334AF" w:rsidR="005831F5" w:rsidRPr="006B25C7" w:rsidRDefault="005831F5" w:rsidP="004726E2">
            <w:pPr>
              <w:spacing w:after="100"/>
              <w:jc w:val="both"/>
              <w:rPr>
                <w:rFonts w:ascii="Calibri" w:hAnsi="Calibri" w:cs="Calibri"/>
                <w:sz w:val="18"/>
                <w:szCs w:val="18"/>
              </w:rPr>
            </w:pPr>
            <w:r w:rsidRPr="006B25C7">
              <w:rPr>
                <w:rFonts w:ascii="Calibri" w:hAnsi="Calibri" w:cs="Calibri"/>
                <w:sz w:val="18"/>
                <w:szCs w:val="18"/>
              </w:rPr>
              <w:t>La CEN conserva competencia exclusiva para: puestos sin factor objetivo, impugnaciones RENAPMA, actualización trienal de protocolos y calificación de otros sectores. Su carga minera disminuye en ~84%, permitiéndole operar con mayor rigor en los casos complejos que realmente lo requieren.</w:t>
            </w:r>
          </w:p>
        </w:tc>
      </w:tr>
      <w:tr w:rsidR="005831F5" w14:paraId="14346398" w14:textId="77777777" w:rsidTr="005831F5">
        <w:tc>
          <w:tcPr>
            <w:tcW w:w="4945" w:type="dxa"/>
          </w:tcPr>
          <w:p w14:paraId="336841C2" w14:textId="77777777" w:rsidR="005831F5" w:rsidRPr="006B25C7" w:rsidRDefault="005831F5" w:rsidP="004726E2">
            <w:pPr>
              <w:spacing w:after="100"/>
              <w:jc w:val="both"/>
              <w:rPr>
                <w:rFonts w:ascii="Calibri" w:hAnsi="Calibri" w:cs="Calibri"/>
                <w:b/>
                <w:bCs/>
                <w:sz w:val="18"/>
                <w:szCs w:val="18"/>
              </w:rPr>
            </w:pPr>
            <w:r w:rsidRPr="006B25C7">
              <w:rPr>
                <w:rFonts w:ascii="Calibri" w:hAnsi="Calibri" w:cs="Calibri"/>
                <w:b/>
                <w:bCs/>
                <w:sz w:val="18"/>
                <w:szCs w:val="18"/>
              </w:rPr>
              <w:t>Riesgo de fraude y auto-declaración patronal</w:t>
            </w:r>
          </w:p>
          <w:p w14:paraId="619939B0" w14:textId="4A1F7214" w:rsidR="005831F5" w:rsidRPr="006B25C7" w:rsidRDefault="005831F5" w:rsidP="004726E2">
            <w:pPr>
              <w:spacing w:after="100"/>
              <w:jc w:val="both"/>
              <w:rPr>
                <w:rFonts w:ascii="Calibri" w:hAnsi="Calibri" w:cs="Calibri"/>
                <w:sz w:val="18"/>
                <w:szCs w:val="18"/>
              </w:rPr>
            </w:pPr>
            <w:r w:rsidRPr="006B25C7">
              <w:rPr>
                <w:rFonts w:ascii="Calibri" w:hAnsi="Calibri" w:cs="Calibri"/>
                <w:sz w:val="18"/>
                <w:szCs w:val="18"/>
              </w:rPr>
              <w:t>«Si la empresa inscribe sus propios puestos en el RENAPMA, el sistema queda expuesto a declaraciones falsas o inexactas que la CEN no podrá controlar ex ante.»</w:t>
            </w:r>
          </w:p>
        </w:tc>
        <w:tc>
          <w:tcPr>
            <w:tcW w:w="4945" w:type="dxa"/>
          </w:tcPr>
          <w:p w14:paraId="1E16980C" w14:textId="77777777" w:rsidR="005831F5" w:rsidRPr="006B25C7" w:rsidRDefault="005831F5" w:rsidP="004726E2">
            <w:pPr>
              <w:spacing w:after="100"/>
              <w:jc w:val="both"/>
              <w:rPr>
                <w:rFonts w:ascii="Calibri" w:hAnsi="Calibri" w:cs="Calibri"/>
                <w:b/>
                <w:bCs/>
                <w:sz w:val="18"/>
                <w:szCs w:val="18"/>
              </w:rPr>
            </w:pPr>
            <w:r w:rsidRPr="006B25C7">
              <w:rPr>
                <w:rFonts w:ascii="Calibri" w:hAnsi="Calibri" w:cs="Calibri"/>
                <w:b/>
                <w:bCs/>
                <w:sz w:val="18"/>
                <w:szCs w:val="18"/>
              </w:rPr>
              <w:t>Control posterior más robusto que el actual</w:t>
            </w:r>
          </w:p>
          <w:p w14:paraId="4E46FBBD" w14:textId="5798DB01" w:rsidR="005831F5" w:rsidRPr="006B25C7" w:rsidRDefault="005831F5" w:rsidP="004726E2">
            <w:pPr>
              <w:spacing w:after="100"/>
              <w:jc w:val="both"/>
              <w:rPr>
                <w:rFonts w:ascii="Calibri" w:hAnsi="Calibri" w:cs="Calibri"/>
                <w:sz w:val="18"/>
                <w:szCs w:val="18"/>
              </w:rPr>
            </w:pPr>
            <w:r w:rsidRPr="006B25C7">
              <w:rPr>
                <w:rFonts w:ascii="Calibri" w:hAnsi="Calibri" w:cs="Calibri"/>
                <w:sz w:val="18"/>
                <w:szCs w:val="18"/>
              </w:rPr>
              <w:t>El sistema de auditorías aleatorias anuales (15% de puestos) supera en cobertura al sistema actual, que es reactivo (solo actúa ante denuncia). Además, el cruce automático con bases de SERNAGEOMIN y DT detecta inconsistencias sin que la CEN deba intervenir caso a caso.</w:t>
            </w:r>
          </w:p>
        </w:tc>
      </w:tr>
      <w:tr w:rsidR="005831F5" w14:paraId="7160DAFF" w14:textId="77777777" w:rsidTr="005831F5">
        <w:tc>
          <w:tcPr>
            <w:tcW w:w="4945" w:type="dxa"/>
          </w:tcPr>
          <w:p w14:paraId="036DBA0C" w14:textId="77777777" w:rsidR="005831F5" w:rsidRPr="006B25C7" w:rsidRDefault="005831F5" w:rsidP="004726E2">
            <w:pPr>
              <w:spacing w:after="100"/>
              <w:jc w:val="both"/>
              <w:rPr>
                <w:rFonts w:ascii="Calibri" w:hAnsi="Calibri" w:cs="Calibri"/>
                <w:b/>
                <w:bCs/>
                <w:sz w:val="18"/>
                <w:szCs w:val="18"/>
              </w:rPr>
            </w:pPr>
            <w:r w:rsidRPr="006B25C7">
              <w:rPr>
                <w:rFonts w:ascii="Calibri" w:hAnsi="Calibri" w:cs="Calibri"/>
                <w:b/>
                <w:bCs/>
                <w:sz w:val="18"/>
                <w:szCs w:val="18"/>
              </w:rPr>
              <w:t>Los umbrales son arbitrarios y desactualizados</w:t>
            </w:r>
          </w:p>
          <w:p w14:paraId="38DD8135" w14:textId="41AF76CF" w:rsidR="005831F5" w:rsidRPr="006B25C7" w:rsidRDefault="005831F5" w:rsidP="004726E2">
            <w:pPr>
              <w:spacing w:after="100"/>
              <w:jc w:val="both"/>
              <w:rPr>
                <w:rFonts w:ascii="Calibri" w:hAnsi="Calibri" w:cs="Calibri"/>
                <w:sz w:val="18"/>
                <w:szCs w:val="18"/>
              </w:rPr>
            </w:pPr>
            <w:r w:rsidRPr="006B25C7">
              <w:rPr>
                <w:rFonts w:ascii="Calibri" w:hAnsi="Calibri" w:cs="Calibri"/>
                <w:sz w:val="18"/>
                <w:szCs w:val="18"/>
              </w:rPr>
              <w:t>«¿Por qué 3.000 msnm y no 2.500 o 3.500? ¿Por qué 85 dB(A) y no 82? Los umbrales sin evidencia clínica chilena son cuestionables.»</w:t>
            </w:r>
          </w:p>
        </w:tc>
        <w:tc>
          <w:tcPr>
            <w:tcW w:w="4945" w:type="dxa"/>
          </w:tcPr>
          <w:p w14:paraId="4D852FCD" w14:textId="77777777" w:rsidR="005831F5" w:rsidRPr="006B25C7" w:rsidRDefault="005831F5" w:rsidP="004726E2">
            <w:pPr>
              <w:spacing w:after="100"/>
              <w:jc w:val="both"/>
              <w:rPr>
                <w:rFonts w:ascii="Calibri" w:hAnsi="Calibri" w:cs="Calibri"/>
                <w:b/>
                <w:bCs/>
                <w:sz w:val="18"/>
                <w:szCs w:val="18"/>
              </w:rPr>
            </w:pPr>
            <w:r w:rsidRPr="006B25C7">
              <w:rPr>
                <w:rFonts w:ascii="Calibri" w:hAnsi="Calibri" w:cs="Calibri"/>
                <w:b/>
                <w:bCs/>
                <w:sz w:val="18"/>
                <w:szCs w:val="18"/>
              </w:rPr>
              <w:t>Umbrales fundados + actualización institucional en manos de la CEN</w:t>
            </w:r>
          </w:p>
          <w:p w14:paraId="24B29091" w14:textId="63D3C04D" w:rsidR="005831F5" w:rsidRPr="006B25C7" w:rsidRDefault="005831F5" w:rsidP="004726E2">
            <w:pPr>
              <w:spacing w:after="100"/>
              <w:jc w:val="both"/>
              <w:rPr>
                <w:rFonts w:ascii="Calibri" w:hAnsi="Calibri" w:cs="Calibri"/>
                <w:sz w:val="18"/>
                <w:szCs w:val="18"/>
              </w:rPr>
            </w:pPr>
            <w:r w:rsidRPr="006B25C7">
              <w:rPr>
                <w:rFonts w:ascii="Calibri" w:hAnsi="Calibri" w:cs="Calibri"/>
                <w:sz w:val="18"/>
                <w:szCs w:val="18"/>
              </w:rPr>
              <w:t>Cada umbral está respaldado por evidencia internacional (NIOSH, IARC, OPS) y normas nacionales vigentes (DS 594 MINSAL, TMERT, NCh 2590). La propia CEN presidirá el subcomité técnico que los revisará cada 3 años, asegurando su pertinencia permanente.</w:t>
            </w:r>
          </w:p>
        </w:tc>
      </w:tr>
      <w:tr w:rsidR="005831F5" w14:paraId="4F22D114" w14:textId="77777777" w:rsidTr="005831F5">
        <w:tc>
          <w:tcPr>
            <w:tcW w:w="4945" w:type="dxa"/>
          </w:tcPr>
          <w:p w14:paraId="0D03D01A" w14:textId="77777777" w:rsidR="005831F5" w:rsidRPr="006B25C7" w:rsidRDefault="005831F5" w:rsidP="004726E2">
            <w:pPr>
              <w:spacing w:after="100"/>
              <w:jc w:val="both"/>
              <w:rPr>
                <w:rFonts w:ascii="Calibri" w:hAnsi="Calibri" w:cs="Calibri"/>
                <w:b/>
                <w:bCs/>
                <w:sz w:val="18"/>
                <w:szCs w:val="18"/>
              </w:rPr>
            </w:pPr>
            <w:r w:rsidRPr="006B25C7">
              <w:rPr>
                <w:rFonts w:ascii="Calibri" w:hAnsi="Calibri" w:cs="Calibri"/>
                <w:b/>
                <w:bCs/>
                <w:sz w:val="18"/>
                <w:szCs w:val="18"/>
              </w:rPr>
              <w:t>Sobrecarga por impugnaciones</w:t>
            </w:r>
          </w:p>
          <w:p w14:paraId="764201B8" w14:textId="2386FF7B" w:rsidR="005831F5" w:rsidRPr="006B25C7" w:rsidRDefault="005831F5" w:rsidP="004726E2">
            <w:pPr>
              <w:spacing w:after="100"/>
              <w:jc w:val="both"/>
              <w:rPr>
                <w:rFonts w:ascii="Calibri" w:hAnsi="Calibri" w:cs="Calibri"/>
                <w:sz w:val="18"/>
                <w:szCs w:val="18"/>
              </w:rPr>
            </w:pPr>
            <w:r w:rsidRPr="006B25C7">
              <w:rPr>
                <w:rFonts w:ascii="Calibri" w:hAnsi="Calibri" w:cs="Calibri"/>
                <w:sz w:val="18"/>
                <w:szCs w:val="18"/>
              </w:rPr>
              <w:t>«Si decenas de miles de puestos se inscriben automáticamente, las impugnaciones colapsarán a la Comisión de Apelaciones y a la propia CEN.»</w:t>
            </w:r>
          </w:p>
        </w:tc>
        <w:tc>
          <w:tcPr>
            <w:tcW w:w="4945" w:type="dxa"/>
          </w:tcPr>
          <w:p w14:paraId="330069B2" w14:textId="77777777" w:rsidR="005831F5" w:rsidRPr="006B25C7" w:rsidRDefault="005831F5" w:rsidP="004726E2">
            <w:pPr>
              <w:spacing w:after="100"/>
              <w:jc w:val="both"/>
              <w:rPr>
                <w:rFonts w:ascii="Calibri" w:hAnsi="Calibri" w:cs="Calibri"/>
                <w:b/>
                <w:bCs/>
                <w:sz w:val="18"/>
                <w:szCs w:val="18"/>
              </w:rPr>
            </w:pPr>
            <w:r w:rsidRPr="006B25C7">
              <w:rPr>
                <w:rFonts w:ascii="Calibri" w:hAnsi="Calibri" w:cs="Calibri"/>
                <w:b/>
                <w:bCs/>
                <w:sz w:val="18"/>
                <w:szCs w:val="18"/>
              </w:rPr>
              <w:t>El volumen de impugnaciones será menor, no mayor</w:t>
            </w:r>
          </w:p>
          <w:p w14:paraId="5D48DBBD" w14:textId="09879F8C" w:rsidR="005831F5" w:rsidRPr="006B25C7" w:rsidRDefault="005831F5" w:rsidP="004726E2">
            <w:pPr>
              <w:spacing w:after="100"/>
              <w:jc w:val="both"/>
              <w:rPr>
                <w:rFonts w:ascii="Calibri" w:hAnsi="Calibri" w:cs="Calibri"/>
                <w:sz w:val="18"/>
                <w:szCs w:val="18"/>
              </w:rPr>
            </w:pPr>
            <w:r w:rsidRPr="006B25C7">
              <w:rPr>
                <w:rFonts w:ascii="Calibri" w:hAnsi="Calibri" w:cs="Calibri"/>
                <w:sz w:val="18"/>
                <w:szCs w:val="18"/>
              </w:rPr>
              <w:t>El sistema actual genera ~130–140 apelaciones anuales en minería. La automatización elimina el incentivo a litigar cuando la calificación es objetiva. Se proyectan menos de 25 impugnaciones RENAPMA anuales. Se refuerza la secretaría con un Coordinador Sectorial Minería dedicado.</w:t>
            </w:r>
          </w:p>
        </w:tc>
      </w:tr>
      <w:tr w:rsidR="005831F5" w14:paraId="258BE84D" w14:textId="77777777" w:rsidTr="00136977">
        <w:tc>
          <w:tcPr>
            <w:tcW w:w="9890" w:type="dxa"/>
            <w:gridSpan w:val="2"/>
          </w:tcPr>
          <w:p w14:paraId="412AE47A" w14:textId="3D8594EE" w:rsidR="005831F5" w:rsidRPr="006B25C7" w:rsidRDefault="005831F5" w:rsidP="004726E2">
            <w:pPr>
              <w:spacing w:after="100"/>
              <w:jc w:val="both"/>
              <w:rPr>
                <w:rFonts w:ascii="Calibri" w:hAnsi="Calibri" w:cs="Calibri"/>
                <w:sz w:val="18"/>
                <w:szCs w:val="18"/>
              </w:rPr>
            </w:pPr>
            <w:r w:rsidRPr="006B25C7">
              <w:rPr>
                <w:rFonts w:ascii="Calibri" w:hAnsi="Calibri" w:cs="Calibri"/>
                <w:sz w:val="18"/>
                <w:szCs w:val="18"/>
              </w:rPr>
              <w:t>Propuesta de acuerdo: </w:t>
            </w:r>
            <w:r w:rsidRPr="006B25C7">
              <w:rPr>
                <w:rFonts w:ascii="Calibri" w:hAnsi="Calibri" w:cs="Calibri"/>
                <w:b/>
                <w:bCs/>
                <w:sz w:val="18"/>
                <w:szCs w:val="18"/>
              </w:rPr>
              <w:t>La CEN co-diseña los formularios RENAPMA y preside el subcomité de actualización de umbrales.</w:t>
            </w:r>
            <w:r w:rsidRPr="006B25C7">
              <w:rPr>
                <w:rFonts w:ascii="Calibri" w:hAnsi="Calibri" w:cs="Calibri"/>
                <w:sz w:val="18"/>
                <w:szCs w:val="18"/>
              </w:rPr>
              <w:t> Se formalizan ambas funciones en el decreto modificatorio, elevando su rol técnico-normativo por encima del actual rol procedimental.</w:t>
            </w:r>
          </w:p>
        </w:tc>
      </w:tr>
    </w:tbl>
    <w:p w14:paraId="7661B86C" w14:textId="77777777" w:rsidR="005831F5" w:rsidRPr="00377CFD" w:rsidRDefault="005831F5" w:rsidP="004726E2">
      <w:pPr>
        <w:spacing w:after="100"/>
        <w:jc w:val="both"/>
        <w:rPr>
          <w:rFonts w:asciiTheme="majorHAnsi" w:hAnsiTheme="majorHAnsi" w:cstheme="majorHAnsi"/>
          <w:sz w:val="20"/>
          <w:szCs w:val="20"/>
        </w:rPr>
      </w:pPr>
    </w:p>
    <w:p w14:paraId="3D2A0F43" w14:textId="01F5D68E" w:rsidR="005831F5" w:rsidRDefault="005831F5">
      <w:pPr>
        <w:rPr>
          <w:rFonts w:asciiTheme="majorHAnsi" w:hAnsiTheme="majorHAnsi" w:cstheme="majorHAnsi"/>
          <w:sz w:val="20"/>
          <w:szCs w:val="20"/>
        </w:rPr>
      </w:pPr>
      <w:r>
        <w:rPr>
          <w:rFonts w:asciiTheme="majorHAnsi" w:hAnsiTheme="majorHAnsi" w:cstheme="majorHAnsi"/>
          <w:sz w:val="20"/>
          <w:szCs w:val="20"/>
        </w:rPr>
        <w:br w:type="page"/>
      </w:r>
    </w:p>
    <w:p w14:paraId="4F34AD99" w14:textId="33418EFC" w:rsidR="005831F5" w:rsidRDefault="005831F5">
      <w:pPr>
        <w:rPr>
          <w:rFonts w:asciiTheme="majorHAnsi" w:hAnsiTheme="majorHAnsi" w:cstheme="majorHAnsi"/>
          <w:b/>
          <w:bCs/>
          <w:color w:val="2E6DA4"/>
          <w:sz w:val="20"/>
          <w:szCs w:val="20"/>
        </w:rPr>
      </w:pPr>
    </w:p>
    <w:p w14:paraId="52ADD991" w14:textId="6EA6FE59" w:rsidR="006B25C7" w:rsidRPr="006B25C7" w:rsidRDefault="006B25C7" w:rsidP="006B25C7">
      <w:pPr>
        <w:pStyle w:val="Ttulo3"/>
        <w:rPr>
          <w:rFonts w:ascii="Calibri" w:hAnsi="Calibri" w:cs="Calibri"/>
          <w:color w:val="4F81BD" w:themeColor="accent1"/>
          <w:sz w:val="20"/>
          <w:szCs w:val="20"/>
        </w:rPr>
      </w:pPr>
      <w:bookmarkStart w:id="27" w:name="_Toc228400955"/>
      <w:r>
        <w:rPr>
          <w:rFonts w:ascii="Calibri" w:hAnsi="Calibri" w:cs="Calibri"/>
          <w:color w:val="4F81BD" w:themeColor="accent1"/>
          <w:sz w:val="20"/>
          <w:szCs w:val="20"/>
        </w:rPr>
        <w:t>Super</w:t>
      </w:r>
      <w:r w:rsidRPr="006B25C7">
        <w:rPr>
          <w:rFonts w:ascii="Calibri" w:hAnsi="Calibri" w:cs="Calibri"/>
          <w:color w:val="4F81BD" w:themeColor="accent1"/>
          <w:sz w:val="20"/>
          <w:szCs w:val="20"/>
        </w:rPr>
        <w:t>intendencia de Pensiones</w:t>
      </w:r>
      <w:r>
        <w:rPr>
          <w:rFonts w:ascii="Calibri" w:hAnsi="Calibri" w:cs="Calibri"/>
          <w:color w:val="4F81BD" w:themeColor="accent1"/>
          <w:sz w:val="20"/>
          <w:szCs w:val="20"/>
        </w:rPr>
        <w:t>:</w:t>
      </w:r>
      <w:bookmarkEnd w:id="27"/>
      <w:r>
        <w:rPr>
          <w:rFonts w:ascii="Calibri" w:hAnsi="Calibri" w:cs="Calibri"/>
          <w:color w:val="4F81BD" w:themeColor="accent1"/>
          <w:sz w:val="20"/>
          <w:szCs w:val="20"/>
        </w:rPr>
        <w:t xml:space="preserve"> </w:t>
      </w:r>
    </w:p>
    <w:p w14:paraId="72808250" w14:textId="77777777" w:rsidR="006B25C7" w:rsidRPr="006B25C7" w:rsidRDefault="006B25C7" w:rsidP="006B25C7">
      <w:pPr>
        <w:pStyle w:val="Ttulo3"/>
        <w:jc w:val="both"/>
        <w:rPr>
          <w:rFonts w:ascii="Calibri" w:hAnsi="Calibri" w:cs="Calibri"/>
          <w:b w:val="0"/>
          <w:bCs w:val="0"/>
          <w:color w:val="auto"/>
          <w:sz w:val="20"/>
          <w:szCs w:val="20"/>
        </w:rPr>
      </w:pPr>
      <w:bookmarkStart w:id="28" w:name="_Toc228400956"/>
      <w:r w:rsidRPr="006B25C7">
        <w:rPr>
          <w:rFonts w:ascii="Calibri" w:hAnsi="Calibri" w:cs="Calibri"/>
          <w:b w:val="0"/>
          <w:bCs w:val="0"/>
          <w:color w:val="auto"/>
          <w:sz w:val="20"/>
          <w:szCs w:val="20"/>
        </w:rPr>
        <w:t>Ente fiscalizador con supervigilancia sobre la CEN. Sus preocupaciones son principalmente de tipo operacional, presupuestario y de responsabilidad legal ante el sistema previsional.</w:t>
      </w:r>
      <w:bookmarkEnd w:id="28"/>
    </w:p>
    <w:p w14:paraId="7CE45816" w14:textId="516B9314" w:rsidR="005831F5" w:rsidRPr="006B25C7" w:rsidRDefault="006B25C7" w:rsidP="006B25C7">
      <w:pPr>
        <w:pStyle w:val="Ttulo3"/>
        <w:jc w:val="both"/>
        <w:rPr>
          <w:rFonts w:ascii="Calibri" w:hAnsi="Calibri" w:cs="Calibri"/>
          <w:color w:val="4F81BD" w:themeColor="accent1"/>
          <w:sz w:val="20"/>
          <w:szCs w:val="20"/>
        </w:rPr>
      </w:pPr>
      <w:bookmarkStart w:id="29" w:name="_Toc228400957"/>
      <w:r w:rsidRPr="006B25C7">
        <w:rPr>
          <w:rFonts w:ascii="Calibri" w:hAnsi="Calibri" w:cs="Calibri"/>
          <w:b w:val="0"/>
          <w:bCs w:val="0"/>
          <w:color w:val="auto"/>
          <w:sz w:val="20"/>
          <w:szCs w:val="20"/>
        </w:rPr>
        <w:t>Resistencia: media — preocupación operativa y fiscal</w:t>
      </w:r>
      <w:r>
        <w:rPr>
          <w:rFonts w:ascii="Calibri" w:hAnsi="Calibri" w:cs="Calibri"/>
          <w:b w:val="0"/>
          <w:bCs w:val="0"/>
          <w:color w:val="auto"/>
          <w:sz w:val="20"/>
          <w:szCs w:val="20"/>
        </w:rPr>
        <w:t xml:space="preserve"> </w:t>
      </w:r>
      <w:r w:rsidR="005831F5" w:rsidRPr="006B25C7">
        <w:rPr>
          <w:rFonts w:ascii="Calibri" w:hAnsi="Calibri" w:cs="Calibri"/>
          <w:b w:val="0"/>
          <w:bCs w:val="0"/>
          <w:color w:val="auto"/>
          <w:sz w:val="20"/>
          <w:szCs w:val="20"/>
        </w:rPr>
        <w:t>Comisión Ergonómica Nacional (CEN)</w:t>
      </w:r>
      <w:bookmarkEnd w:id="29"/>
    </w:p>
    <w:p w14:paraId="06E215C0" w14:textId="77777777" w:rsidR="006B25C7" w:rsidRPr="006B25C7" w:rsidRDefault="006B25C7" w:rsidP="006B25C7"/>
    <w:tbl>
      <w:tblPr>
        <w:tblStyle w:val="Tablaconcuadrcula"/>
        <w:tblW w:w="0" w:type="auto"/>
        <w:tblLook w:val="04A0" w:firstRow="1" w:lastRow="0" w:firstColumn="1" w:lastColumn="0" w:noHBand="0" w:noVBand="1"/>
      </w:tblPr>
      <w:tblGrid>
        <w:gridCol w:w="4945"/>
        <w:gridCol w:w="4945"/>
      </w:tblGrid>
      <w:tr w:rsidR="005831F5" w14:paraId="0F5B540A" w14:textId="77777777" w:rsidTr="00A032EE">
        <w:tc>
          <w:tcPr>
            <w:tcW w:w="4945" w:type="dxa"/>
            <w:shd w:val="clear" w:color="auto" w:fill="002060"/>
            <w:vAlign w:val="center"/>
          </w:tcPr>
          <w:p w14:paraId="5F14458B" w14:textId="77777777" w:rsidR="005831F5" w:rsidRPr="005831F5" w:rsidRDefault="005831F5" w:rsidP="00A032EE">
            <w:pPr>
              <w:spacing w:after="100"/>
              <w:jc w:val="center"/>
              <w:rPr>
                <w:rFonts w:asciiTheme="majorHAnsi" w:hAnsiTheme="majorHAnsi" w:cstheme="majorHAnsi"/>
                <w:b/>
                <w:bCs/>
                <w:sz w:val="18"/>
                <w:szCs w:val="18"/>
              </w:rPr>
            </w:pPr>
            <w:r w:rsidRPr="005831F5">
              <w:rPr>
                <w:rFonts w:asciiTheme="majorHAnsi" w:hAnsiTheme="majorHAnsi" w:cstheme="majorHAnsi"/>
                <w:b/>
                <w:bCs/>
                <w:sz w:val="18"/>
                <w:szCs w:val="18"/>
              </w:rPr>
              <w:t>Objeción Esperada</w:t>
            </w:r>
          </w:p>
        </w:tc>
        <w:tc>
          <w:tcPr>
            <w:tcW w:w="4945" w:type="dxa"/>
            <w:shd w:val="clear" w:color="auto" w:fill="002060"/>
            <w:vAlign w:val="center"/>
          </w:tcPr>
          <w:p w14:paraId="27BCC196" w14:textId="77777777" w:rsidR="005831F5" w:rsidRPr="005831F5" w:rsidRDefault="005831F5" w:rsidP="00A032EE">
            <w:pPr>
              <w:spacing w:after="100"/>
              <w:jc w:val="center"/>
              <w:rPr>
                <w:rFonts w:asciiTheme="majorHAnsi" w:hAnsiTheme="majorHAnsi" w:cstheme="majorHAnsi"/>
                <w:b/>
                <w:bCs/>
                <w:sz w:val="18"/>
                <w:szCs w:val="18"/>
              </w:rPr>
            </w:pPr>
            <w:r w:rsidRPr="005831F5">
              <w:rPr>
                <w:rFonts w:asciiTheme="majorHAnsi" w:hAnsiTheme="majorHAnsi" w:cstheme="majorHAnsi"/>
                <w:b/>
                <w:bCs/>
                <w:color w:val="FFFFFF"/>
                <w:sz w:val="18"/>
                <w:szCs w:val="18"/>
              </w:rPr>
              <w:t>Respuesta Propuesta</w:t>
            </w:r>
          </w:p>
        </w:tc>
      </w:tr>
      <w:tr w:rsidR="005831F5" w14:paraId="44D41C47" w14:textId="77777777" w:rsidTr="00A032EE">
        <w:tc>
          <w:tcPr>
            <w:tcW w:w="4945" w:type="dxa"/>
          </w:tcPr>
          <w:p w14:paraId="604BF0FA"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Costo de implementación del RENAPMA</w:t>
            </w:r>
          </w:p>
          <w:p w14:paraId="312B8E5D" w14:textId="75F5585D" w:rsidR="005831F5"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«Construir y mantener una plataforma digital integrada con DT, SERNAGEOMIN, AFP e IPS requiere inversión tecnológica que no está contemplada en el presupuesto actual.»</w:t>
            </w:r>
          </w:p>
        </w:tc>
        <w:tc>
          <w:tcPr>
            <w:tcW w:w="4945" w:type="dxa"/>
          </w:tcPr>
          <w:p w14:paraId="337AFE45"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Costo de desarrollo menor que el ahorro operativo proyectado</w:t>
            </w:r>
          </w:p>
          <w:p w14:paraId="220C16D1" w14:textId="5C689723" w:rsidR="005831F5"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 xml:space="preserve">El costo estimado de desarrollo del módulo RENAPMA (basado en sistemas similares de la propia Superintendencia) es de UF 800–1.200. El ahorro anual en costos CEN del sector minero es de UF 3.200–4.800. El ROI se alcanza en menos de 4 meses de operación. Además, la integración con bases existentes (DT y SERNAGEOMIN) ya opera con </w:t>
            </w:r>
            <w:proofErr w:type="spellStart"/>
            <w:r w:rsidRPr="006B25C7">
              <w:rPr>
                <w:rFonts w:ascii="Calibri" w:hAnsi="Calibri" w:cs="Calibri"/>
                <w:sz w:val="18"/>
                <w:szCs w:val="18"/>
              </w:rPr>
              <w:t>APIs</w:t>
            </w:r>
            <w:proofErr w:type="spellEnd"/>
            <w:r w:rsidRPr="006B25C7">
              <w:rPr>
                <w:rFonts w:ascii="Calibri" w:hAnsi="Calibri" w:cs="Calibri"/>
                <w:sz w:val="18"/>
                <w:szCs w:val="18"/>
              </w:rPr>
              <w:t xml:space="preserve"> disponibles.</w:t>
            </w:r>
          </w:p>
        </w:tc>
      </w:tr>
      <w:tr w:rsidR="005831F5" w14:paraId="23C3844D" w14:textId="77777777" w:rsidTr="00A032EE">
        <w:tc>
          <w:tcPr>
            <w:tcW w:w="4945" w:type="dxa"/>
          </w:tcPr>
          <w:p w14:paraId="1D74C3BC"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Responsabilidad ante cotizaciones retroactivas incorrectas</w:t>
            </w:r>
          </w:p>
          <w:p w14:paraId="76F89771" w14:textId="10796DC4" w:rsidR="005831F5"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«Si se reconocen períodos retroactivos hasta 5 años y luego se impugna la inscripción, ¿quién responde por las cotizaciones ya depositadas en las AFP?»</w:t>
            </w:r>
          </w:p>
        </w:tc>
        <w:tc>
          <w:tcPr>
            <w:tcW w:w="4945" w:type="dxa"/>
          </w:tcPr>
          <w:p w14:paraId="06201DD3"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Protocolo de reversibilidad con trazabilidad completa</w:t>
            </w:r>
          </w:p>
          <w:p w14:paraId="7FC0D54A" w14:textId="76F0920E" w:rsidR="005831F5"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El RENAPMA registrará con fecha certificada cada inscripción y modificación. En caso de impugnación exitosa, el mecanismo de devolución de cotizaciones sigue las reglas del Art. 19 del DL 3.500 (ya aplicadas en casos de nulidad). La Superintendencia emitirá una circular específica antes del inicio del proceso de inscripción masiva.</w:t>
            </w:r>
          </w:p>
        </w:tc>
      </w:tr>
      <w:tr w:rsidR="005831F5" w14:paraId="60D771BB" w14:textId="77777777" w:rsidTr="00A032EE">
        <w:tc>
          <w:tcPr>
            <w:tcW w:w="4945" w:type="dxa"/>
          </w:tcPr>
          <w:p w14:paraId="5C4B9564"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Riesgo de inconsistencia con el sistema AFP</w:t>
            </w:r>
          </w:p>
          <w:p w14:paraId="773B4010" w14:textId="2385BA5F" w:rsidR="005831F5"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«Las AFP no tienen infraestructura para recibir y procesar masivamente actualizaciones de libretas por cotizaciones retroactivas de miles de trabajadores.»</w:t>
            </w:r>
          </w:p>
        </w:tc>
        <w:tc>
          <w:tcPr>
            <w:tcW w:w="4945" w:type="dxa"/>
          </w:tcPr>
          <w:p w14:paraId="334571B3"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Plazo razonable y migración por fases</w:t>
            </w:r>
          </w:p>
          <w:p w14:paraId="54FBF449" w14:textId="1924C926" w:rsidR="005831F5"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La circular de actualización de libretas otorga 30 días por trabajador activo inscrito. La migración es por fases (primero trabajadores directos, luego subcontratistas). Se realiza una mesa técnica AFP–Superintendencia antes del lanzamiento del RENAPMA para acordar el formato de datos y el protocolo de actualización masiva.</w:t>
            </w:r>
          </w:p>
        </w:tc>
      </w:tr>
      <w:tr w:rsidR="005831F5" w14:paraId="525D52D6" w14:textId="77777777" w:rsidTr="00A032EE">
        <w:tc>
          <w:tcPr>
            <w:tcW w:w="4945" w:type="dxa"/>
          </w:tcPr>
          <w:p w14:paraId="0A158734"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Impacto en el equilibrio actuarial del sistema</w:t>
            </w:r>
          </w:p>
          <w:p w14:paraId="7078BC2F" w14:textId="5AAF1716" w:rsidR="005831F5"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«Un aumento de 100.000+ trabajadores con cotizaciones adicionales podría afectar proyecciones actuariales del sistema de pensiones.»</w:t>
            </w:r>
          </w:p>
        </w:tc>
        <w:tc>
          <w:tcPr>
            <w:tcW w:w="4945" w:type="dxa"/>
          </w:tcPr>
          <w:p w14:paraId="2FBF1A95"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No hay impacto actuarial negativo: las cotizaciones son de capitalización individual</w:t>
            </w:r>
          </w:p>
          <w:p w14:paraId="2162477D" w14:textId="0A27B107" w:rsidR="005831F5"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Las cotizaciones del Art. 17 bis van a cuentas individuales (no a un fondo de reparto). El impacto actuarial es neutro para el sistema y positivo para los trabajadores. La única exposición fiscal es la cotización del IPS (trabajadores del sistema antiguo), cuyo universo en minería es reducido y decreciente.</w:t>
            </w:r>
          </w:p>
        </w:tc>
      </w:tr>
      <w:tr w:rsidR="005831F5" w14:paraId="65B854B1" w14:textId="77777777" w:rsidTr="00A032EE">
        <w:tc>
          <w:tcPr>
            <w:tcW w:w="9890" w:type="dxa"/>
            <w:gridSpan w:val="2"/>
          </w:tcPr>
          <w:p w14:paraId="613FC012" w14:textId="3450294F" w:rsidR="005831F5"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Propuesta de acuerdo: </w:t>
            </w:r>
            <w:r w:rsidRPr="006B25C7">
              <w:rPr>
                <w:rFonts w:ascii="Calibri" w:hAnsi="Calibri" w:cs="Calibri"/>
                <w:b/>
                <w:bCs/>
                <w:sz w:val="18"/>
                <w:szCs w:val="18"/>
              </w:rPr>
              <w:t>La Superintendencia lidera el diseño e implementación del RENAPMA con presupuesto específico consignado en la glosa de la ley de presupuesto del año siguiente a la promulgación.</w:t>
            </w:r>
            <w:r w:rsidRPr="006B25C7">
              <w:rPr>
                <w:rFonts w:ascii="Calibri" w:hAnsi="Calibri" w:cs="Calibri"/>
                <w:sz w:val="18"/>
                <w:szCs w:val="18"/>
              </w:rPr>
              <w:t> Se le reconoce formalmente el rol de administrador del registro, reforzando su posición institucional en el sistema.</w:t>
            </w:r>
          </w:p>
        </w:tc>
      </w:tr>
    </w:tbl>
    <w:p w14:paraId="6B96088D" w14:textId="77777777" w:rsidR="005831F5" w:rsidRPr="00377CFD" w:rsidRDefault="005831F5" w:rsidP="005831F5">
      <w:pPr>
        <w:spacing w:after="100"/>
        <w:jc w:val="both"/>
        <w:rPr>
          <w:rFonts w:asciiTheme="majorHAnsi" w:hAnsiTheme="majorHAnsi" w:cstheme="majorHAnsi"/>
          <w:sz w:val="20"/>
          <w:szCs w:val="20"/>
        </w:rPr>
      </w:pPr>
    </w:p>
    <w:p w14:paraId="6DB5782A" w14:textId="65CFE22F" w:rsidR="005831F5" w:rsidRDefault="005831F5">
      <w:pPr>
        <w:rPr>
          <w:rFonts w:asciiTheme="majorHAnsi" w:hAnsiTheme="majorHAnsi" w:cstheme="majorHAnsi"/>
          <w:b/>
          <w:bCs/>
          <w:color w:val="2E6DA4"/>
          <w:sz w:val="20"/>
          <w:szCs w:val="20"/>
        </w:rPr>
      </w:pPr>
      <w:r>
        <w:rPr>
          <w:rFonts w:asciiTheme="majorHAnsi" w:hAnsiTheme="majorHAnsi" w:cstheme="majorHAnsi"/>
          <w:b/>
          <w:bCs/>
          <w:color w:val="2E6DA4"/>
          <w:sz w:val="20"/>
          <w:szCs w:val="20"/>
        </w:rPr>
        <w:br w:type="page"/>
      </w:r>
    </w:p>
    <w:p w14:paraId="153604A9" w14:textId="7DE0B465" w:rsidR="006B25C7" w:rsidRPr="006B25C7" w:rsidRDefault="006B25C7" w:rsidP="006B25C7">
      <w:pPr>
        <w:pStyle w:val="Ttulo3"/>
        <w:rPr>
          <w:rFonts w:ascii="Calibri" w:hAnsi="Calibri" w:cs="Calibri"/>
          <w:color w:val="4F81BD" w:themeColor="accent1"/>
          <w:sz w:val="20"/>
          <w:szCs w:val="20"/>
        </w:rPr>
      </w:pPr>
      <w:bookmarkStart w:id="30" w:name="_Toc228400958"/>
      <w:r w:rsidRPr="006B25C7">
        <w:rPr>
          <w:rFonts w:ascii="Calibri" w:hAnsi="Calibri" w:cs="Calibri"/>
          <w:color w:val="4F81BD" w:themeColor="accent1"/>
          <w:sz w:val="20"/>
          <w:szCs w:val="20"/>
        </w:rPr>
        <w:lastRenderedPageBreak/>
        <w:t>Empleadores — SONAMI y Consejo Minero</w:t>
      </w:r>
      <w:r>
        <w:rPr>
          <w:rFonts w:ascii="Calibri" w:hAnsi="Calibri" w:cs="Calibri"/>
          <w:color w:val="4F81BD" w:themeColor="accent1"/>
          <w:sz w:val="20"/>
          <w:szCs w:val="20"/>
        </w:rPr>
        <w:t>:</w:t>
      </w:r>
      <w:bookmarkEnd w:id="30"/>
    </w:p>
    <w:p w14:paraId="545D85BC" w14:textId="77777777" w:rsidR="006B25C7" w:rsidRPr="006B25C7" w:rsidRDefault="006B25C7" w:rsidP="006B25C7">
      <w:pPr>
        <w:pStyle w:val="Ttulo3"/>
        <w:jc w:val="both"/>
        <w:rPr>
          <w:rFonts w:ascii="Calibri" w:hAnsi="Calibri" w:cs="Calibri"/>
          <w:b w:val="0"/>
          <w:bCs w:val="0"/>
          <w:color w:val="auto"/>
          <w:sz w:val="20"/>
          <w:szCs w:val="20"/>
        </w:rPr>
      </w:pPr>
      <w:bookmarkStart w:id="31" w:name="_Toc228400959"/>
      <w:r w:rsidRPr="006B25C7">
        <w:rPr>
          <w:rFonts w:ascii="Calibri" w:hAnsi="Calibri" w:cs="Calibri"/>
          <w:b w:val="0"/>
          <w:bCs w:val="0"/>
          <w:color w:val="auto"/>
          <w:sz w:val="20"/>
          <w:szCs w:val="20"/>
        </w:rPr>
        <w:t>Representan tanto a la gran minería (cobre, litio, oro) como a la mediana y pequeña. Sus intereses divergen en algunos puntos: la gran minería teme la retroactividad; la pequeña y mediana, el costo de cumplimiento.</w:t>
      </w:r>
      <w:bookmarkEnd w:id="31"/>
    </w:p>
    <w:p w14:paraId="1791C823" w14:textId="30757E5A" w:rsidR="006B25C7" w:rsidRPr="006B25C7" w:rsidRDefault="006B25C7" w:rsidP="006B25C7">
      <w:pPr>
        <w:pStyle w:val="Ttulo3"/>
        <w:jc w:val="both"/>
        <w:rPr>
          <w:rFonts w:ascii="Calibri" w:hAnsi="Calibri" w:cs="Calibri"/>
          <w:color w:val="4F81BD" w:themeColor="accent1"/>
          <w:sz w:val="20"/>
          <w:szCs w:val="20"/>
        </w:rPr>
      </w:pPr>
      <w:bookmarkStart w:id="32" w:name="_Toc228400960"/>
      <w:r w:rsidRPr="006B25C7">
        <w:rPr>
          <w:rFonts w:ascii="Calibri" w:hAnsi="Calibri" w:cs="Calibri"/>
          <w:b w:val="0"/>
          <w:bCs w:val="0"/>
          <w:color w:val="auto"/>
          <w:sz w:val="20"/>
          <w:szCs w:val="20"/>
        </w:rPr>
        <w:t>Resistencia: media-alta — costo económico directo e incertidumbre jurídica</w:t>
      </w:r>
      <w:bookmarkEnd w:id="32"/>
    </w:p>
    <w:p w14:paraId="4EB7AAE6" w14:textId="77777777" w:rsidR="006B25C7" w:rsidRPr="006B25C7" w:rsidRDefault="006B25C7" w:rsidP="006B25C7"/>
    <w:tbl>
      <w:tblPr>
        <w:tblStyle w:val="Tablaconcuadrcula"/>
        <w:tblW w:w="0" w:type="auto"/>
        <w:tblLook w:val="04A0" w:firstRow="1" w:lastRow="0" w:firstColumn="1" w:lastColumn="0" w:noHBand="0" w:noVBand="1"/>
      </w:tblPr>
      <w:tblGrid>
        <w:gridCol w:w="4945"/>
        <w:gridCol w:w="4945"/>
      </w:tblGrid>
      <w:tr w:rsidR="006B25C7" w14:paraId="121663C7" w14:textId="77777777" w:rsidTr="00A032EE">
        <w:tc>
          <w:tcPr>
            <w:tcW w:w="4945" w:type="dxa"/>
            <w:shd w:val="clear" w:color="auto" w:fill="002060"/>
            <w:vAlign w:val="center"/>
          </w:tcPr>
          <w:p w14:paraId="77241EA1" w14:textId="77777777" w:rsidR="006B25C7" w:rsidRPr="005831F5" w:rsidRDefault="006B25C7" w:rsidP="00A032EE">
            <w:pPr>
              <w:spacing w:after="100"/>
              <w:jc w:val="center"/>
              <w:rPr>
                <w:rFonts w:asciiTheme="majorHAnsi" w:hAnsiTheme="majorHAnsi" w:cstheme="majorHAnsi"/>
                <w:b/>
                <w:bCs/>
                <w:sz w:val="18"/>
                <w:szCs w:val="18"/>
              </w:rPr>
            </w:pPr>
            <w:r w:rsidRPr="005831F5">
              <w:rPr>
                <w:rFonts w:asciiTheme="majorHAnsi" w:hAnsiTheme="majorHAnsi" w:cstheme="majorHAnsi"/>
                <w:b/>
                <w:bCs/>
                <w:sz w:val="18"/>
                <w:szCs w:val="18"/>
              </w:rPr>
              <w:t>Objeción Esperada</w:t>
            </w:r>
          </w:p>
        </w:tc>
        <w:tc>
          <w:tcPr>
            <w:tcW w:w="4945" w:type="dxa"/>
            <w:shd w:val="clear" w:color="auto" w:fill="002060"/>
            <w:vAlign w:val="center"/>
          </w:tcPr>
          <w:p w14:paraId="3FB807F7" w14:textId="77777777" w:rsidR="006B25C7" w:rsidRPr="005831F5" w:rsidRDefault="006B25C7" w:rsidP="00A032EE">
            <w:pPr>
              <w:spacing w:after="100"/>
              <w:jc w:val="center"/>
              <w:rPr>
                <w:rFonts w:asciiTheme="majorHAnsi" w:hAnsiTheme="majorHAnsi" w:cstheme="majorHAnsi"/>
                <w:b/>
                <w:bCs/>
                <w:sz w:val="18"/>
                <w:szCs w:val="18"/>
              </w:rPr>
            </w:pPr>
            <w:r w:rsidRPr="005831F5">
              <w:rPr>
                <w:rFonts w:asciiTheme="majorHAnsi" w:hAnsiTheme="majorHAnsi" w:cstheme="majorHAnsi"/>
                <w:b/>
                <w:bCs/>
                <w:color w:val="FFFFFF"/>
                <w:sz w:val="18"/>
                <w:szCs w:val="18"/>
              </w:rPr>
              <w:t>Respuesta Propuesta</w:t>
            </w:r>
          </w:p>
        </w:tc>
      </w:tr>
      <w:tr w:rsidR="006B25C7" w14:paraId="0AD7AC0D" w14:textId="77777777" w:rsidTr="00A032EE">
        <w:tc>
          <w:tcPr>
            <w:tcW w:w="4945" w:type="dxa"/>
          </w:tcPr>
          <w:p w14:paraId="001E11E3"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Costo retroactivo impredecible (gran minería)</w:t>
            </w:r>
          </w:p>
          <w:p w14:paraId="61F3F881" w14:textId="77A13FEB" w:rsidR="006B25C7"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«El efecto retroactivo hasta 5 años por condiciones preexistentes impone una deuda contingente que las empresas no pueden cuantificar ni provisionar. Viola el principio de confianza legítima.»</w:t>
            </w:r>
          </w:p>
        </w:tc>
        <w:tc>
          <w:tcPr>
            <w:tcW w:w="4945" w:type="dxa"/>
          </w:tcPr>
          <w:p w14:paraId="61DDD5D8"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Retroactividad acotada con períodos de gracia diferenciados</w:t>
            </w:r>
          </w:p>
          <w:p w14:paraId="4BBF7426" w14:textId="1CA0DA27" w:rsidR="006B25C7"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La retroactividad se limita a 5 años máximo desde la vigencia de la ley, no desde el inicio histórico de la condición. Las empresas que hayan tramitado solicitudes CEN de buena fe (aun no resueltas) quedan exentas del cargo retroactivo. Se establece un plazo de 18 meses para pagar las cotizaciones retroactivas en cuotas, sin interés penal.</w:t>
            </w:r>
          </w:p>
        </w:tc>
      </w:tr>
      <w:tr w:rsidR="006B25C7" w14:paraId="00003154" w14:textId="77777777" w:rsidTr="00A032EE">
        <w:tc>
          <w:tcPr>
            <w:tcW w:w="4945" w:type="dxa"/>
          </w:tcPr>
          <w:p w14:paraId="3E0BC647"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Criterios demasiado amplios capturan puestos de bajo riesgo</w:t>
            </w:r>
          </w:p>
          <w:p w14:paraId="2DC16BAD" w14:textId="1661B93B" w:rsidR="006B25C7"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«El Factor B (turnos 7×7) solo describe una modalidad de jornada, no implica necesariamente desgaste. Muchos puestos administrativos en campamento tendrían calificación automática sin justificación.»</w:t>
            </w:r>
          </w:p>
        </w:tc>
        <w:tc>
          <w:tcPr>
            <w:tcW w:w="4945" w:type="dxa"/>
          </w:tcPr>
          <w:p w14:paraId="12F56886"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El Factor B incluye una condición de faena directa, no de ubicación</w:t>
            </w:r>
          </w:p>
          <w:p w14:paraId="430DB5B1" w14:textId="64C27452" w:rsidR="006B25C7"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La propuesta exige que la jornada 7×7 se cumpla en establecimientos de actividad minera (extracción, beneficio, fundición, servicios auxiliares directos). El personal puramente administrativo de soporte no operacional (contabilidad central, legal) puede ser excluido mediante una cláusula de excepción solicitada ante la CEN con plazo de 30 días.</w:t>
            </w:r>
          </w:p>
        </w:tc>
      </w:tr>
      <w:tr w:rsidR="006B25C7" w14:paraId="792DA301" w14:textId="77777777" w:rsidTr="00A032EE">
        <w:tc>
          <w:tcPr>
            <w:tcW w:w="4945" w:type="dxa"/>
          </w:tcPr>
          <w:p w14:paraId="7F2A3D48"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Responsabilidad solidaria desproporcionada sobre contratistas</w:t>
            </w:r>
          </w:p>
          <w:p w14:paraId="67AB7E86" w14:textId="6BB7A462" w:rsidR="006B25C7"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«Exigir a la empresa mandante responsabilidad solidaria por las cotizaciones de todos sus contratistas es una carga que no guarda relación con su capacidad de control sobre las condiciones de trabajo de terceros.»</w:t>
            </w:r>
          </w:p>
        </w:tc>
        <w:tc>
          <w:tcPr>
            <w:tcW w:w="4945" w:type="dxa"/>
          </w:tcPr>
          <w:p w14:paraId="04D6E335"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La solidaridad ya existe en la ley vigente; la reforma solo la hace operativa</w:t>
            </w:r>
          </w:p>
          <w:p w14:paraId="5E0B78FE" w14:textId="127DF2C3" w:rsidR="006B25C7"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La responsabilidad solidaria está establecida desde la Ley 20.984 (2017) en el Art. 3° de la Ley 19.404, en plena coherencia con el Art. 183-B del CT. La reforma no amplía esta responsabilidad; la activa al eliminar el cuello de botella de la calificación. La empresa mandante puede trasladar el costo vía contrato de prestación de servicios.</w:t>
            </w:r>
          </w:p>
        </w:tc>
      </w:tr>
      <w:tr w:rsidR="006B25C7" w14:paraId="6F69C1FB" w14:textId="77777777" w:rsidTr="00A032EE">
        <w:tc>
          <w:tcPr>
            <w:tcW w:w="4945" w:type="dxa"/>
          </w:tcPr>
          <w:p w14:paraId="517AC4AA"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Costo de medición e instrumentación para acreditar factores</w:t>
            </w:r>
          </w:p>
          <w:p w14:paraId="5301B4B8" w14:textId="42D71CDB" w:rsidR="006B25C7"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«Exigir dosimetrías, evaluaciones REBA y análisis de sílice a todas las empresas —especialmente medianas y contratistas— implica costos de higiene industrial que muchas no pueden asumir.»</w:t>
            </w:r>
          </w:p>
        </w:tc>
        <w:tc>
          <w:tcPr>
            <w:tcW w:w="4945" w:type="dxa"/>
          </w:tcPr>
          <w:p w14:paraId="02A4914C" w14:textId="77777777" w:rsidR="006B25C7" w:rsidRDefault="006B25C7" w:rsidP="00A032EE">
            <w:pPr>
              <w:spacing w:after="100"/>
              <w:jc w:val="both"/>
              <w:rPr>
                <w:rFonts w:ascii="Calibri" w:hAnsi="Calibri" w:cs="Calibri"/>
                <w:b/>
                <w:bCs/>
                <w:sz w:val="18"/>
                <w:szCs w:val="18"/>
              </w:rPr>
            </w:pPr>
            <w:r w:rsidRPr="006B25C7">
              <w:rPr>
                <w:rFonts w:ascii="Calibri" w:hAnsi="Calibri" w:cs="Calibri"/>
                <w:b/>
                <w:bCs/>
                <w:sz w:val="18"/>
                <w:szCs w:val="18"/>
              </w:rPr>
              <w:t>Los OAL ya están obligados a realizar estas mediciones sin costo adicional</w:t>
            </w:r>
          </w:p>
          <w:p w14:paraId="340CF041" w14:textId="6DD7960E" w:rsidR="006B25C7"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Las mutualidades y organismos administradores de la Ley 16.744 (ACHS, IST, Mutual) están obligados por ley y por protocolos SUSESO a realizar dosimetrías, evaluaciones ergonómicas y vigilancia ambiental en empresas afiliadas. Estos resultados son suficientes como respaldo RENAPMA sin costo adicional para el empleador.</w:t>
            </w:r>
          </w:p>
        </w:tc>
      </w:tr>
      <w:tr w:rsidR="006B25C7" w14:paraId="099A9903" w14:textId="77777777" w:rsidTr="00A032EE">
        <w:tc>
          <w:tcPr>
            <w:tcW w:w="9890" w:type="dxa"/>
            <w:gridSpan w:val="2"/>
          </w:tcPr>
          <w:p w14:paraId="4743A841" w14:textId="3F94FA6A" w:rsidR="006B25C7" w:rsidRPr="006B25C7" w:rsidRDefault="006B25C7" w:rsidP="00A032EE">
            <w:pPr>
              <w:spacing w:after="100"/>
              <w:jc w:val="both"/>
              <w:rPr>
                <w:rFonts w:ascii="Calibri" w:hAnsi="Calibri" w:cs="Calibri"/>
                <w:sz w:val="18"/>
                <w:szCs w:val="18"/>
              </w:rPr>
            </w:pPr>
            <w:r w:rsidRPr="006B25C7">
              <w:rPr>
                <w:rFonts w:ascii="Calibri" w:hAnsi="Calibri" w:cs="Calibri"/>
                <w:sz w:val="18"/>
                <w:szCs w:val="18"/>
              </w:rPr>
              <w:t>Propuesta de acuerdo: </w:t>
            </w:r>
            <w:r w:rsidRPr="006B25C7">
              <w:rPr>
                <w:rFonts w:ascii="Calibri" w:hAnsi="Calibri" w:cs="Calibri"/>
                <w:b/>
                <w:bCs/>
                <w:sz w:val="18"/>
                <w:szCs w:val="18"/>
              </w:rPr>
              <w:t>Se crea una Mesa Técnica Empleadores–MINTRAB–Superintendencia para definir el listado de puestos excluibles del Factor B (jornada 7×7 en funciones puramente administrativas), antes del ingreso del proyecto al Congreso.</w:t>
            </w:r>
            <w:r w:rsidRPr="006B25C7">
              <w:rPr>
                <w:rFonts w:ascii="Calibri" w:hAnsi="Calibri" w:cs="Calibri"/>
                <w:sz w:val="18"/>
                <w:szCs w:val="18"/>
              </w:rPr>
              <w:t> La gran minería participará en el piloto de inscripción RENAPMA con CODELCO, aportando experiencia técnica a cambio de ser reconocida como organización de referencia en el proceso.</w:t>
            </w:r>
          </w:p>
        </w:tc>
      </w:tr>
    </w:tbl>
    <w:p w14:paraId="0AECC1F0" w14:textId="77777777" w:rsidR="006B25C7" w:rsidRPr="00377CFD" w:rsidRDefault="006B25C7" w:rsidP="006B25C7">
      <w:pPr>
        <w:spacing w:after="100"/>
        <w:jc w:val="both"/>
        <w:rPr>
          <w:rFonts w:asciiTheme="majorHAnsi" w:hAnsiTheme="majorHAnsi" w:cstheme="majorHAnsi"/>
          <w:sz w:val="20"/>
          <w:szCs w:val="20"/>
        </w:rPr>
      </w:pPr>
    </w:p>
    <w:p w14:paraId="732519E2" w14:textId="48F8C098" w:rsidR="006B25C7" w:rsidRDefault="006B25C7">
      <w:pPr>
        <w:rPr>
          <w:rFonts w:asciiTheme="majorHAnsi" w:hAnsiTheme="majorHAnsi" w:cstheme="majorHAnsi"/>
          <w:b/>
          <w:bCs/>
          <w:color w:val="2E6DA4"/>
          <w:sz w:val="20"/>
          <w:szCs w:val="20"/>
        </w:rPr>
      </w:pPr>
      <w:r>
        <w:rPr>
          <w:rFonts w:asciiTheme="majorHAnsi" w:hAnsiTheme="majorHAnsi" w:cstheme="majorHAnsi"/>
          <w:b/>
          <w:bCs/>
          <w:color w:val="2E6DA4"/>
          <w:sz w:val="20"/>
          <w:szCs w:val="20"/>
        </w:rPr>
        <w:br w:type="page"/>
      </w:r>
    </w:p>
    <w:p w14:paraId="1333AE2E" w14:textId="6932D842" w:rsidR="00607B4C" w:rsidRPr="00607B4C" w:rsidRDefault="00607B4C" w:rsidP="00607B4C">
      <w:pPr>
        <w:pStyle w:val="Ttulo3"/>
        <w:rPr>
          <w:rFonts w:ascii="Calibri" w:hAnsi="Calibri" w:cs="Calibri"/>
          <w:color w:val="4F81BD" w:themeColor="accent1"/>
          <w:sz w:val="20"/>
          <w:szCs w:val="20"/>
        </w:rPr>
      </w:pPr>
      <w:bookmarkStart w:id="33" w:name="_Toc228400961"/>
      <w:r w:rsidRPr="00607B4C">
        <w:rPr>
          <w:rFonts w:ascii="Calibri" w:hAnsi="Calibri" w:cs="Calibri"/>
          <w:color w:val="4F81BD" w:themeColor="accent1"/>
          <w:sz w:val="20"/>
          <w:szCs w:val="20"/>
        </w:rPr>
        <w:lastRenderedPageBreak/>
        <w:t>Trabajadores — CUT, Sindicatos y Federaciones Mineras</w:t>
      </w:r>
      <w:r>
        <w:rPr>
          <w:rFonts w:ascii="Calibri" w:hAnsi="Calibri" w:cs="Calibri"/>
          <w:color w:val="4F81BD" w:themeColor="accent1"/>
          <w:sz w:val="20"/>
          <w:szCs w:val="20"/>
        </w:rPr>
        <w:t>:</w:t>
      </w:r>
      <w:bookmarkEnd w:id="33"/>
    </w:p>
    <w:p w14:paraId="40ADCA24" w14:textId="1E3F14D2" w:rsidR="00607B4C" w:rsidRPr="00607B4C" w:rsidRDefault="00607B4C" w:rsidP="00607B4C">
      <w:pPr>
        <w:pStyle w:val="Ttulo3"/>
        <w:jc w:val="both"/>
        <w:rPr>
          <w:rFonts w:ascii="Calibri" w:hAnsi="Calibri" w:cs="Calibri"/>
          <w:b w:val="0"/>
          <w:bCs w:val="0"/>
          <w:color w:val="auto"/>
          <w:sz w:val="20"/>
          <w:szCs w:val="20"/>
        </w:rPr>
      </w:pPr>
      <w:bookmarkStart w:id="34" w:name="_Toc228400962"/>
      <w:r w:rsidRPr="00607B4C">
        <w:rPr>
          <w:rFonts w:ascii="Calibri" w:hAnsi="Calibri" w:cs="Calibri"/>
          <w:b w:val="0"/>
          <w:bCs w:val="0"/>
          <w:color w:val="auto"/>
          <w:sz w:val="20"/>
          <w:szCs w:val="20"/>
        </w:rPr>
        <w:t>En principio favorables a la reforma, pero con desconfianza histórica hacia mecanismos patronales de autodeclaración y ante la posibilidad de que la automatización sea usada para reducir derechos.</w:t>
      </w:r>
      <w:bookmarkEnd w:id="34"/>
    </w:p>
    <w:p w14:paraId="32DBC3EB" w14:textId="6630A017" w:rsidR="00607B4C" w:rsidRPr="00607B4C" w:rsidRDefault="00607B4C" w:rsidP="00607B4C">
      <w:pPr>
        <w:pStyle w:val="Ttulo3"/>
        <w:jc w:val="both"/>
        <w:rPr>
          <w:rFonts w:ascii="Calibri" w:hAnsi="Calibri" w:cs="Calibri"/>
          <w:b w:val="0"/>
          <w:bCs w:val="0"/>
          <w:color w:val="auto"/>
          <w:sz w:val="20"/>
          <w:szCs w:val="20"/>
        </w:rPr>
      </w:pPr>
      <w:bookmarkStart w:id="35" w:name="_Toc228400963"/>
      <w:r w:rsidRPr="00607B4C">
        <w:rPr>
          <w:rFonts w:ascii="Calibri" w:hAnsi="Calibri" w:cs="Calibri"/>
          <w:b w:val="0"/>
          <w:bCs w:val="0"/>
          <w:color w:val="auto"/>
          <w:sz w:val="20"/>
          <w:szCs w:val="20"/>
        </w:rPr>
        <w:t>Resistencia: baja-media — desconfianza procedimental, no oposición de fondo:</w:t>
      </w:r>
      <w:bookmarkEnd w:id="35"/>
    </w:p>
    <w:p w14:paraId="78EE6BE9" w14:textId="77777777" w:rsidR="00607B4C" w:rsidRPr="006B25C7" w:rsidRDefault="00607B4C" w:rsidP="00607B4C"/>
    <w:tbl>
      <w:tblPr>
        <w:tblStyle w:val="Tablaconcuadrcula"/>
        <w:tblW w:w="0" w:type="auto"/>
        <w:tblLook w:val="04A0" w:firstRow="1" w:lastRow="0" w:firstColumn="1" w:lastColumn="0" w:noHBand="0" w:noVBand="1"/>
      </w:tblPr>
      <w:tblGrid>
        <w:gridCol w:w="4945"/>
        <w:gridCol w:w="4945"/>
      </w:tblGrid>
      <w:tr w:rsidR="00607B4C" w14:paraId="4755694D" w14:textId="77777777" w:rsidTr="00A032EE">
        <w:tc>
          <w:tcPr>
            <w:tcW w:w="4945" w:type="dxa"/>
            <w:shd w:val="clear" w:color="auto" w:fill="002060"/>
            <w:vAlign w:val="center"/>
          </w:tcPr>
          <w:p w14:paraId="6DAEC593" w14:textId="77777777" w:rsidR="00607B4C" w:rsidRPr="005831F5" w:rsidRDefault="00607B4C" w:rsidP="00A032EE">
            <w:pPr>
              <w:spacing w:after="100"/>
              <w:jc w:val="center"/>
              <w:rPr>
                <w:rFonts w:asciiTheme="majorHAnsi" w:hAnsiTheme="majorHAnsi" w:cstheme="majorHAnsi"/>
                <w:b/>
                <w:bCs/>
                <w:sz w:val="18"/>
                <w:szCs w:val="18"/>
              </w:rPr>
            </w:pPr>
            <w:r w:rsidRPr="005831F5">
              <w:rPr>
                <w:rFonts w:asciiTheme="majorHAnsi" w:hAnsiTheme="majorHAnsi" w:cstheme="majorHAnsi"/>
                <w:b/>
                <w:bCs/>
                <w:sz w:val="18"/>
                <w:szCs w:val="18"/>
              </w:rPr>
              <w:t>Objeción Esperada</w:t>
            </w:r>
          </w:p>
        </w:tc>
        <w:tc>
          <w:tcPr>
            <w:tcW w:w="4945" w:type="dxa"/>
            <w:shd w:val="clear" w:color="auto" w:fill="002060"/>
            <w:vAlign w:val="center"/>
          </w:tcPr>
          <w:p w14:paraId="64DE8306" w14:textId="77777777" w:rsidR="00607B4C" w:rsidRPr="005831F5" w:rsidRDefault="00607B4C" w:rsidP="00A032EE">
            <w:pPr>
              <w:spacing w:after="100"/>
              <w:jc w:val="center"/>
              <w:rPr>
                <w:rFonts w:asciiTheme="majorHAnsi" w:hAnsiTheme="majorHAnsi" w:cstheme="majorHAnsi"/>
                <w:b/>
                <w:bCs/>
                <w:sz w:val="18"/>
                <w:szCs w:val="18"/>
              </w:rPr>
            </w:pPr>
            <w:r w:rsidRPr="005831F5">
              <w:rPr>
                <w:rFonts w:asciiTheme="majorHAnsi" w:hAnsiTheme="majorHAnsi" w:cstheme="majorHAnsi"/>
                <w:b/>
                <w:bCs/>
                <w:color w:val="FFFFFF"/>
                <w:sz w:val="18"/>
                <w:szCs w:val="18"/>
              </w:rPr>
              <w:t>Respuesta Propuesta</w:t>
            </w:r>
          </w:p>
        </w:tc>
      </w:tr>
      <w:tr w:rsidR="00607B4C" w14:paraId="7F22F5CD" w14:textId="77777777" w:rsidTr="00A032EE">
        <w:tc>
          <w:tcPr>
            <w:tcW w:w="4945" w:type="dxa"/>
          </w:tcPr>
          <w:p w14:paraId="3A63E0D4" w14:textId="77777777" w:rsidR="009F4ACE" w:rsidRDefault="00607B4C" w:rsidP="00A032EE">
            <w:pPr>
              <w:spacing w:after="100"/>
              <w:jc w:val="both"/>
              <w:rPr>
                <w:rFonts w:ascii="Calibri" w:hAnsi="Calibri" w:cs="Calibri"/>
                <w:b/>
                <w:bCs/>
                <w:sz w:val="18"/>
                <w:szCs w:val="18"/>
              </w:rPr>
            </w:pPr>
            <w:r w:rsidRPr="00607B4C">
              <w:rPr>
                <w:rFonts w:ascii="Calibri" w:hAnsi="Calibri" w:cs="Calibri"/>
                <w:b/>
                <w:bCs/>
                <w:sz w:val="18"/>
                <w:szCs w:val="18"/>
              </w:rPr>
              <w:t>La auto-declaración patronal es una trampa para rebajar la cotización al 1%</w:t>
            </w:r>
          </w:p>
          <w:p w14:paraId="79EC7E1E" w14:textId="5FD646B8" w:rsidR="00607B4C" w:rsidRPr="006B25C7" w:rsidRDefault="00607B4C" w:rsidP="00A032EE">
            <w:pPr>
              <w:spacing w:after="100"/>
              <w:jc w:val="both"/>
              <w:rPr>
                <w:rFonts w:ascii="Calibri" w:hAnsi="Calibri" w:cs="Calibri"/>
                <w:sz w:val="18"/>
                <w:szCs w:val="18"/>
              </w:rPr>
            </w:pPr>
            <w:r w:rsidRPr="00607B4C">
              <w:rPr>
                <w:rFonts w:ascii="Calibri" w:hAnsi="Calibri" w:cs="Calibri"/>
                <w:sz w:val="18"/>
                <w:szCs w:val="18"/>
              </w:rPr>
              <w:t>«Si el empleador inscribe el puesto indicando que concurren 2 o más factores, obtendrá automáticamente la reducción al 1%, perjudicando al trabajador en su acumulación previsional.»</w:t>
            </w:r>
          </w:p>
        </w:tc>
        <w:tc>
          <w:tcPr>
            <w:tcW w:w="4945" w:type="dxa"/>
          </w:tcPr>
          <w:p w14:paraId="4CCD5E4F" w14:textId="77777777" w:rsidR="009F4ACE" w:rsidRDefault="00607B4C" w:rsidP="00A032EE">
            <w:pPr>
              <w:spacing w:after="100"/>
              <w:jc w:val="both"/>
              <w:rPr>
                <w:rFonts w:ascii="Calibri" w:hAnsi="Calibri" w:cs="Calibri"/>
                <w:b/>
                <w:bCs/>
                <w:sz w:val="18"/>
                <w:szCs w:val="18"/>
              </w:rPr>
            </w:pPr>
            <w:r w:rsidRPr="00607B4C">
              <w:rPr>
                <w:rFonts w:ascii="Calibri" w:hAnsi="Calibri" w:cs="Calibri"/>
                <w:b/>
                <w:bCs/>
                <w:sz w:val="18"/>
                <w:szCs w:val="18"/>
              </w:rPr>
              <w:t>La reducción al 1% requiere más evidencia, no menos</w:t>
            </w:r>
          </w:p>
          <w:p w14:paraId="5F70A2D0" w14:textId="24B4F2A5" w:rsidR="00607B4C" w:rsidRPr="006B25C7" w:rsidRDefault="00607B4C" w:rsidP="00A032EE">
            <w:pPr>
              <w:spacing w:after="100"/>
              <w:jc w:val="both"/>
              <w:rPr>
                <w:rFonts w:ascii="Calibri" w:hAnsi="Calibri" w:cs="Calibri"/>
                <w:sz w:val="18"/>
                <w:szCs w:val="18"/>
              </w:rPr>
            </w:pPr>
            <w:r w:rsidRPr="00607B4C">
              <w:rPr>
                <w:rFonts w:ascii="Calibri" w:hAnsi="Calibri" w:cs="Calibri"/>
                <w:sz w:val="18"/>
                <w:szCs w:val="18"/>
              </w:rPr>
              <w:t>Para obtener la reducción al 1%, el empleador debe documentar dos o más factores objetivos, lo que implica más exposición auditora. Además, el trabajador y el sindicato pueden impugnar cualquier inscripción ante la DT en 15 días. La carga de la prueba ante la impugnación recae en el empleador.</w:t>
            </w:r>
          </w:p>
        </w:tc>
      </w:tr>
      <w:tr w:rsidR="00607B4C" w14:paraId="26265224" w14:textId="77777777" w:rsidTr="00A032EE">
        <w:tc>
          <w:tcPr>
            <w:tcW w:w="4945" w:type="dxa"/>
          </w:tcPr>
          <w:p w14:paraId="2DBB3CD4" w14:textId="77777777" w:rsidR="009F4ACE" w:rsidRDefault="00607B4C" w:rsidP="00A032EE">
            <w:pPr>
              <w:spacing w:after="100"/>
              <w:jc w:val="both"/>
              <w:rPr>
                <w:rFonts w:ascii="Calibri" w:hAnsi="Calibri" w:cs="Calibri"/>
                <w:b/>
                <w:bCs/>
                <w:sz w:val="18"/>
                <w:szCs w:val="18"/>
              </w:rPr>
            </w:pPr>
            <w:r w:rsidRPr="00607B4C">
              <w:rPr>
                <w:rFonts w:ascii="Calibri" w:hAnsi="Calibri" w:cs="Calibri"/>
                <w:b/>
                <w:bCs/>
                <w:sz w:val="18"/>
                <w:szCs w:val="18"/>
              </w:rPr>
              <w:t>Trabajadores con períodos históricos largos no podrán acreditar retroactividad</w:t>
            </w:r>
          </w:p>
          <w:p w14:paraId="65F3796A" w14:textId="7DA7E9A4" w:rsidR="00607B4C" w:rsidRPr="006B25C7" w:rsidRDefault="00607B4C" w:rsidP="00A032EE">
            <w:pPr>
              <w:spacing w:after="100"/>
              <w:jc w:val="both"/>
              <w:rPr>
                <w:rFonts w:ascii="Calibri" w:hAnsi="Calibri" w:cs="Calibri"/>
                <w:sz w:val="18"/>
                <w:szCs w:val="18"/>
              </w:rPr>
            </w:pPr>
            <w:r w:rsidRPr="00607B4C">
              <w:rPr>
                <w:rFonts w:ascii="Calibri" w:hAnsi="Calibri" w:cs="Calibri"/>
                <w:sz w:val="18"/>
                <w:szCs w:val="18"/>
              </w:rPr>
              <w:t>«Los trabajadores con 10–20 años en faenas sin calificación no tienen cómo probar sus condiciones pasadas si la empresa no guardó los registros.»</w:t>
            </w:r>
          </w:p>
        </w:tc>
        <w:tc>
          <w:tcPr>
            <w:tcW w:w="4945" w:type="dxa"/>
          </w:tcPr>
          <w:p w14:paraId="7ED4FFDE" w14:textId="77777777" w:rsidR="009F4ACE" w:rsidRDefault="009F4ACE" w:rsidP="00A032EE">
            <w:pPr>
              <w:spacing w:after="100"/>
              <w:jc w:val="both"/>
              <w:rPr>
                <w:rFonts w:ascii="Calibri" w:hAnsi="Calibri" w:cs="Calibri"/>
                <w:b/>
                <w:bCs/>
                <w:sz w:val="18"/>
                <w:szCs w:val="18"/>
              </w:rPr>
            </w:pPr>
            <w:r w:rsidRPr="009F4ACE">
              <w:rPr>
                <w:rFonts w:ascii="Calibri" w:hAnsi="Calibri" w:cs="Calibri"/>
                <w:b/>
                <w:bCs/>
                <w:sz w:val="18"/>
                <w:szCs w:val="18"/>
              </w:rPr>
              <w:t>Medios de prueba amplios y principio pro operario</w:t>
            </w:r>
          </w:p>
          <w:p w14:paraId="4F1650CB" w14:textId="03195B6C" w:rsidR="00607B4C" w:rsidRPr="006B25C7" w:rsidRDefault="009F4ACE" w:rsidP="00A032EE">
            <w:pPr>
              <w:spacing w:after="100"/>
              <w:jc w:val="both"/>
              <w:rPr>
                <w:rFonts w:ascii="Calibri" w:hAnsi="Calibri" w:cs="Calibri"/>
                <w:sz w:val="18"/>
                <w:szCs w:val="18"/>
              </w:rPr>
            </w:pPr>
            <w:r w:rsidRPr="009F4ACE">
              <w:rPr>
                <w:rFonts w:ascii="Calibri" w:hAnsi="Calibri" w:cs="Calibri"/>
                <w:sz w:val="18"/>
                <w:szCs w:val="18"/>
              </w:rPr>
              <w:t>Para períodos sin documentación patronal, el trabajador puede acreditar condiciones con: registros del OAL (obligatorios), contrato de trabajo con nombre de faena, declaraciones juradas de testigos y constancias del sindicato. La retroactividad máxima es de 5 años. Se aplicará el principio pro operario ante duda probatoria, conforme a los Arts. 5° y 19 del CT.</w:t>
            </w:r>
          </w:p>
        </w:tc>
      </w:tr>
      <w:tr w:rsidR="00607B4C" w14:paraId="1547532E" w14:textId="77777777" w:rsidTr="00A032EE">
        <w:tc>
          <w:tcPr>
            <w:tcW w:w="4945" w:type="dxa"/>
          </w:tcPr>
          <w:p w14:paraId="703FF71C" w14:textId="77777777" w:rsidR="009F4ACE" w:rsidRDefault="009F4ACE" w:rsidP="00A032EE">
            <w:pPr>
              <w:spacing w:after="100"/>
              <w:jc w:val="both"/>
              <w:rPr>
                <w:rFonts w:ascii="Calibri" w:hAnsi="Calibri" w:cs="Calibri"/>
                <w:b/>
                <w:bCs/>
                <w:sz w:val="18"/>
                <w:szCs w:val="18"/>
              </w:rPr>
            </w:pPr>
            <w:r w:rsidRPr="009F4ACE">
              <w:rPr>
                <w:rFonts w:ascii="Calibri" w:hAnsi="Calibri" w:cs="Calibri"/>
                <w:b/>
                <w:bCs/>
                <w:sz w:val="18"/>
                <w:szCs w:val="18"/>
              </w:rPr>
              <w:t>Los subcontratistas quedarán fuera en la práctica</w:t>
            </w:r>
          </w:p>
          <w:p w14:paraId="0F6076AE" w14:textId="4C68EC59" w:rsidR="00607B4C" w:rsidRPr="006B25C7" w:rsidRDefault="009F4ACE" w:rsidP="00A032EE">
            <w:pPr>
              <w:spacing w:after="100"/>
              <w:jc w:val="both"/>
              <w:rPr>
                <w:rFonts w:ascii="Calibri" w:hAnsi="Calibri" w:cs="Calibri"/>
                <w:sz w:val="18"/>
                <w:szCs w:val="18"/>
              </w:rPr>
            </w:pPr>
            <w:r w:rsidRPr="009F4ACE">
              <w:rPr>
                <w:rFonts w:ascii="Calibri" w:hAnsi="Calibri" w:cs="Calibri"/>
                <w:sz w:val="18"/>
                <w:szCs w:val="18"/>
              </w:rPr>
              <w:t>«La empresa principal no se preocupará de inscribir los puestos de sus contratistas, y esos trabajadores —los más vulnerables— seguirán sin cobertura.»</w:t>
            </w:r>
          </w:p>
        </w:tc>
        <w:tc>
          <w:tcPr>
            <w:tcW w:w="4945" w:type="dxa"/>
          </w:tcPr>
          <w:p w14:paraId="1E5DDB76" w14:textId="77777777" w:rsidR="009F4ACE" w:rsidRDefault="009F4ACE" w:rsidP="00A032EE">
            <w:pPr>
              <w:spacing w:after="100"/>
              <w:jc w:val="both"/>
              <w:rPr>
                <w:rFonts w:ascii="Calibri" w:hAnsi="Calibri" w:cs="Calibri"/>
                <w:b/>
                <w:bCs/>
                <w:sz w:val="18"/>
                <w:szCs w:val="18"/>
              </w:rPr>
            </w:pPr>
            <w:r w:rsidRPr="009F4ACE">
              <w:rPr>
                <w:rFonts w:ascii="Calibri" w:hAnsi="Calibri" w:cs="Calibri"/>
                <w:b/>
                <w:bCs/>
                <w:sz w:val="18"/>
                <w:szCs w:val="18"/>
              </w:rPr>
              <w:t>Triple mecanismo de protección para subcontratistas</w:t>
            </w:r>
          </w:p>
          <w:p w14:paraId="0EE8D530" w14:textId="60F7D2C6" w:rsidR="00607B4C" w:rsidRPr="006B25C7" w:rsidRDefault="009F4ACE" w:rsidP="00A032EE">
            <w:pPr>
              <w:spacing w:after="100"/>
              <w:jc w:val="both"/>
              <w:rPr>
                <w:rFonts w:ascii="Calibri" w:hAnsi="Calibri" w:cs="Calibri"/>
                <w:sz w:val="18"/>
                <w:szCs w:val="18"/>
              </w:rPr>
            </w:pPr>
            <w:r w:rsidRPr="009F4ACE">
              <w:rPr>
                <w:rFonts w:ascii="Calibri" w:hAnsi="Calibri" w:cs="Calibri"/>
                <w:sz w:val="18"/>
                <w:szCs w:val="18"/>
              </w:rPr>
              <w:t>(1) Responsabilidad solidaria de la empresa principal por inscripción omitida. (2) Acción directa del trabajador contratista ante la DT para exigir inscripción. (3) Campaña de inscripción de oficio mediante cruce de base DT de contratos de obra+faena con el RENAPMA. Se prioriza a este segmento en la fase de inscripción masiva inicial (meses 9–15 de la ruta de implementación).</w:t>
            </w:r>
          </w:p>
        </w:tc>
      </w:tr>
      <w:tr w:rsidR="00607B4C" w14:paraId="46987940" w14:textId="77777777" w:rsidTr="00A032EE">
        <w:tc>
          <w:tcPr>
            <w:tcW w:w="4945" w:type="dxa"/>
          </w:tcPr>
          <w:p w14:paraId="7FC4A67D" w14:textId="77777777" w:rsidR="009F4ACE" w:rsidRDefault="009F4ACE" w:rsidP="00A032EE">
            <w:pPr>
              <w:spacing w:after="100"/>
              <w:jc w:val="both"/>
              <w:rPr>
                <w:rFonts w:ascii="Calibri" w:hAnsi="Calibri" w:cs="Calibri"/>
                <w:b/>
                <w:bCs/>
                <w:sz w:val="18"/>
                <w:szCs w:val="18"/>
              </w:rPr>
            </w:pPr>
            <w:r w:rsidRPr="009F4ACE">
              <w:rPr>
                <w:rFonts w:ascii="Calibri" w:hAnsi="Calibri" w:cs="Calibri"/>
                <w:b/>
                <w:bCs/>
                <w:sz w:val="18"/>
                <w:szCs w:val="18"/>
              </w:rPr>
              <w:t>La CEN pierde el componente participativo (representantes sindicales)</w:t>
            </w:r>
          </w:p>
          <w:p w14:paraId="271FE28C" w14:textId="11B8F611" w:rsidR="00607B4C" w:rsidRPr="006B25C7" w:rsidRDefault="009F4ACE" w:rsidP="00A032EE">
            <w:pPr>
              <w:spacing w:after="100"/>
              <w:jc w:val="both"/>
              <w:rPr>
                <w:rFonts w:ascii="Calibri" w:hAnsi="Calibri" w:cs="Calibri"/>
                <w:sz w:val="18"/>
                <w:szCs w:val="18"/>
              </w:rPr>
            </w:pPr>
            <w:r w:rsidRPr="009F4ACE">
              <w:rPr>
                <w:rFonts w:ascii="Calibri" w:hAnsi="Calibri" w:cs="Calibri"/>
                <w:sz w:val="18"/>
                <w:szCs w:val="18"/>
              </w:rPr>
              <w:t>«La CEN tiene un representante de los trabajadores por ley. Si el RENAPMA reemplaza su rol central, los trabajadores pierden representación en el proceso de calificación.»</w:t>
            </w:r>
          </w:p>
        </w:tc>
        <w:tc>
          <w:tcPr>
            <w:tcW w:w="4945" w:type="dxa"/>
          </w:tcPr>
          <w:p w14:paraId="06A66F19" w14:textId="49CA7A94" w:rsidR="009F4ACE" w:rsidRDefault="009F4ACE" w:rsidP="00A032EE">
            <w:pPr>
              <w:spacing w:after="100"/>
              <w:jc w:val="both"/>
              <w:rPr>
                <w:rFonts w:ascii="Calibri" w:hAnsi="Calibri" w:cs="Calibri"/>
                <w:sz w:val="18"/>
                <w:szCs w:val="18"/>
              </w:rPr>
            </w:pPr>
            <w:r w:rsidRPr="009F4ACE">
              <w:rPr>
                <w:rFonts w:ascii="Calibri" w:hAnsi="Calibri" w:cs="Calibri"/>
                <w:b/>
                <w:bCs/>
                <w:sz w:val="18"/>
                <w:szCs w:val="18"/>
              </w:rPr>
              <w:t>El representante sindical se fortalece en el subcomité técnico del RENAPMA</w:t>
            </w:r>
          </w:p>
          <w:p w14:paraId="58A17F2B" w14:textId="3A00BFCA" w:rsidR="00607B4C" w:rsidRPr="006B25C7" w:rsidRDefault="009F4ACE" w:rsidP="00A032EE">
            <w:pPr>
              <w:spacing w:after="100"/>
              <w:jc w:val="both"/>
              <w:rPr>
                <w:rFonts w:ascii="Calibri" w:hAnsi="Calibri" w:cs="Calibri"/>
                <w:sz w:val="18"/>
                <w:szCs w:val="18"/>
              </w:rPr>
            </w:pPr>
            <w:r>
              <w:rPr>
                <w:rFonts w:ascii="Calibri" w:hAnsi="Calibri" w:cs="Calibri"/>
                <w:sz w:val="18"/>
                <w:szCs w:val="18"/>
              </w:rPr>
              <w:t>S</w:t>
            </w:r>
            <w:r w:rsidRPr="009F4ACE">
              <w:rPr>
                <w:rFonts w:ascii="Calibri" w:hAnsi="Calibri" w:cs="Calibri"/>
                <w:sz w:val="18"/>
                <w:szCs w:val="18"/>
              </w:rPr>
              <w:t>e propone que el subcomité de actualización de protocolos de la CEN incluya un representante designado por la CUT y uno por la federación sectorial minera más representativa, con derecho a voz y voto en la revisión trienal de umbrales. Esto es más poder efectivo que el actual rol de la CEN, donde el representante sindical es uno entre siete.</w:t>
            </w:r>
          </w:p>
        </w:tc>
      </w:tr>
      <w:tr w:rsidR="00607B4C" w14:paraId="0CB5F5C8" w14:textId="77777777" w:rsidTr="00A032EE">
        <w:tc>
          <w:tcPr>
            <w:tcW w:w="9890" w:type="dxa"/>
            <w:gridSpan w:val="2"/>
          </w:tcPr>
          <w:p w14:paraId="627063EA" w14:textId="589B30C0" w:rsidR="00607B4C" w:rsidRPr="006B25C7" w:rsidRDefault="009F4ACE" w:rsidP="00A032EE">
            <w:pPr>
              <w:spacing w:after="100"/>
              <w:jc w:val="both"/>
              <w:rPr>
                <w:rFonts w:ascii="Calibri" w:hAnsi="Calibri" w:cs="Calibri"/>
                <w:sz w:val="18"/>
                <w:szCs w:val="18"/>
              </w:rPr>
            </w:pPr>
            <w:r w:rsidRPr="009F4ACE">
              <w:rPr>
                <w:rFonts w:ascii="Calibri" w:hAnsi="Calibri" w:cs="Calibri"/>
                <w:sz w:val="18"/>
                <w:szCs w:val="18"/>
              </w:rPr>
              <w:t>Propuesta de acuerdo: </w:t>
            </w:r>
            <w:r w:rsidRPr="009F4ACE">
              <w:rPr>
                <w:rFonts w:ascii="Calibri" w:hAnsi="Calibri" w:cs="Calibri"/>
                <w:b/>
                <w:bCs/>
                <w:sz w:val="18"/>
                <w:szCs w:val="18"/>
              </w:rPr>
              <w:t>La CUT y las federaciones mineras participan en el piloto RENAPMA como auditores externos voluntarios durante los primeros 12 meses, con acceso de lectura al registro y facultad de denunciar inscripciones incorrectas directamente a la Superintendencia.</w:t>
            </w:r>
            <w:r w:rsidRPr="009F4ACE">
              <w:rPr>
                <w:rFonts w:ascii="Calibri" w:hAnsi="Calibri" w:cs="Calibri"/>
                <w:sz w:val="18"/>
                <w:szCs w:val="18"/>
              </w:rPr>
              <w:t> Este rol se formaliza en el reglamento interno del RENAPMA.</w:t>
            </w:r>
          </w:p>
        </w:tc>
      </w:tr>
    </w:tbl>
    <w:p w14:paraId="0A0170CC" w14:textId="5FE24CA9" w:rsidR="00607B4C" w:rsidRDefault="00607B4C">
      <w:pPr>
        <w:rPr>
          <w:rFonts w:asciiTheme="majorHAnsi" w:hAnsiTheme="majorHAnsi" w:cstheme="majorHAnsi"/>
          <w:b/>
          <w:bCs/>
          <w:color w:val="2E6DA4"/>
          <w:sz w:val="20"/>
          <w:szCs w:val="20"/>
        </w:rPr>
      </w:pPr>
      <w:r>
        <w:rPr>
          <w:rFonts w:asciiTheme="majorHAnsi" w:hAnsiTheme="majorHAnsi" w:cstheme="majorHAnsi"/>
          <w:b/>
          <w:bCs/>
          <w:color w:val="2E6DA4"/>
          <w:sz w:val="20"/>
          <w:szCs w:val="20"/>
        </w:rPr>
        <w:br w:type="page"/>
      </w:r>
    </w:p>
    <w:p w14:paraId="13B52DF6" w14:textId="77777777" w:rsidR="00A43F5A" w:rsidRDefault="00A43F5A" w:rsidP="00A43F5A">
      <w:pPr>
        <w:rPr>
          <w:rFonts w:asciiTheme="majorHAnsi" w:hAnsiTheme="majorHAnsi" w:cstheme="majorHAnsi"/>
          <w:b/>
          <w:bCs/>
          <w:color w:val="2E6DA4"/>
          <w:sz w:val="20"/>
          <w:szCs w:val="20"/>
        </w:rPr>
      </w:pPr>
      <w:r w:rsidRPr="00A43F5A">
        <w:rPr>
          <w:rFonts w:asciiTheme="majorHAnsi" w:hAnsiTheme="majorHAnsi" w:cstheme="majorHAnsi"/>
          <w:b/>
          <w:bCs/>
          <w:color w:val="2E6DA4"/>
          <w:sz w:val="20"/>
          <w:szCs w:val="20"/>
        </w:rPr>
        <w:lastRenderedPageBreak/>
        <w:br/>
        <w:t>Síntesis negociadora — Hoja de ruta para el acuerdo</w:t>
      </w:r>
    </w:p>
    <w:p w14:paraId="660229AC" w14:textId="77777777" w:rsidR="00A43F5A" w:rsidRPr="00A43F5A" w:rsidRDefault="00A43F5A" w:rsidP="00A43F5A">
      <w:pPr>
        <w:jc w:val="both"/>
        <w:rPr>
          <w:rFonts w:ascii="Calibri" w:hAnsi="Calibri" w:cs="Calibri"/>
          <w:sz w:val="20"/>
          <w:szCs w:val="20"/>
        </w:rPr>
      </w:pPr>
    </w:p>
    <w:p w14:paraId="36237F4F" w14:textId="77777777" w:rsidR="00A43F5A" w:rsidRDefault="00A43F5A" w:rsidP="00A43F5A">
      <w:pPr>
        <w:jc w:val="both"/>
        <w:rPr>
          <w:rFonts w:ascii="Calibri" w:hAnsi="Calibri" w:cs="Calibri"/>
          <w:sz w:val="20"/>
          <w:szCs w:val="20"/>
        </w:rPr>
      </w:pPr>
      <w:r w:rsidRPr="00A43F5A">
        <w:rPr>
          <w:rFonts w:ascii="Calibri" w:hAnsi="Calibri" w:cs="Calibri"/>
          <w:sz w:val="20"/>
          <w:szCs w:val="20"/>
        </w:rPr>
        <w:t>Los intereses de los cuatro actores son en gran parte compatibles si se diseña el proceso de negociación correctamente.</w:t>
      </w:r>
    </w:p>
    <w:p w14:paraId="2E92BBC2" w14:textId="77777777" w:rsidR="00A43F5A" w:rsidRDefault="00A43F5A" w:rsidP="00A43F5A">
      <w:pPr>
        <w:jc w:val="both"/>
        <w:rPr>
          <w:rFonts w:ascii="Calibri" w:hAnsi="Calibri" w:cs="Calibri"/>
          <w:sz w:val="20"/>
          <w:szCs w:val="20"/>
        </w:rPr>
      </w:pPr>
    </w:p>
    <w:p w14:paraId="28B0E75F" w14:textId="14B2E89E" w:rsidR="00A43F5A" w:rsidRPr="00A43F5A" w:rsidRDefault="00A43F5A" w:rsidP="00A43F5A">
      <w:pPr>
        <w:jc w:val="both"/>
        <w:rPr>
          <w:rFonts w:ascii="Calibri" w:hAnsi="Calibri" w:cs="Calibri"/>
          <w:sz w:val="20"/>
          <w:szCs w:val="20"/>
        </w:rPr>
      </w:pPr>
      <w:r w:rsidRPr="00A43F5A">
        <w:rPr>
          <w:rFonts w:ascii="Calibri" w:hAnsi="Calibri" w:cs="Calibri"/>
          <w:sz w:val="20"/>
          <w:szCs w:val="20"/>
        </w:rPr>
        <w:t>El siguiente esquema identifica las concesiones mínimas necesarias para cada parte.</w:t>
      </w:r>
    </w:p>
    <w:p w14:paraId="1A18C133" w14:textId="77777777" w:rsidR="00A43F5A" w:rsidRDefault="00A43F5A" w:rsidP="00A43F5A">
      <w:pPr>
        <w:jc w:val="both"/>
        <w:rPr>
          <w:rFonts w:ascii="Calibri" w:hAnsi="Calibri" w:cs="Calibri"/>
          <w:sz w:val="20"/>
          <w:szCs w:val="20"/>
        </w:rPr>
      </w:pPr>
    </w:p>
    <w:p w14:paraId="25A8F969" w14:textId="4E39CA75" w:rsidR="00A43F5A" w:rsidRDefault="00A43F5A" w:rsidP="00A43F5A">
      <w:pPr>
        <w:jc w:val="both"/>
        <w:rPr>
          <w:rFonts w:ascii="Calibri" w:hAnsi="Calibri" w:cs="Calibri"/>
          <w:sz w:val="20"/>
          <w:szCs w:val="20"/>
        </w:rPr>
      </w:pPr>
      <w:r w:rsidRPr="00A43F5A">
        <w:rPr>
          <w:rFonts w:ascii="Calibri" w:hAnsi="Calibri" w:cs="Calibri"/>
          <w:sz w:val="20"/>
          <w:szCs w:val="20"/>
        </w:rPr>
        <w:t>Estrategia: construcción de consenso tripartito antes del ingreso al Congreso</w:t>
      </w:r>
    </w:p>
    <w:p w14:paraId="3A564E8F" w14:textId="0D5962A1" w:rsidR="00A43F5A" w:rsidRDefault="00A43F5A" w:rsidP="00A43F5A">
      <w:pPr>
        <w:jc w:val="both"/>
        <w:rPr>
          <w:rFonts w:ascii="Calibri" w:hAnsi="Calibri" w:cs="Calibri"/>
          <w:sz w:val="20"/>
          <w:szCs w:val="20"/>
        </w:rPr>
      </w:pPr>
    </w:p>
    <w:p w14:paraId="4628AD0B" w14:textId="7514D34B" w:rsidR="00A43F5A" w:rsidRDefault="00294586" w:rsidP="00A43F5A">
      <w:pPr>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61312" behindDoc="0" locked="0" layoutInCell="1" allowOverlap="1" wp14:anchorId="36487AED" wp14:editId="04A31F72">
                <wp:simplePos x="0" y="0"/>
                <wp:positionH relativeFrom="column">
                  <wp:posOffset>4147261</wp:posOffset>
                </wp:positionH>
                <wp:positionV relativeFrom="paragraph">
                  <wp:posOffset>20015</wp:posOffset>
                </wp:positionV>
                <wp:extent cx="1009015" cy="862432"/>
                <wp:effectExtent l="57150" t="19050" r="76835" b="90170"/>
                <wp:wrapNone/>
                <wp:docPr id="435940187" name="Rectángulo: esquinas redondeadas 2"/>
                <wp:cNvGraphicFramePr/>
                <a:graphic xmlns:a="http://schemas.openxmlformats.org/drawingml/2006/main">
                  <a:graphicData uri="http://schemas.microsoft.com/office/word/2010/wordprocessingShape">
                    <wps:wsp>
                      <wps:cNvSpPr/>
                      <wps:spPr>
                        <a:xfrm>
                          <a:off x="0" y="0"/>
                          <a:ext cx="1009015" cy="86243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0FA024E" w14:textId="77777777" w:rsidR="00294586" w:rsidRPr="00A43F5A" w:rsidRDefault="00294586" w:rsidP="00294586">
                            <w:pPr>
                              <w:jc w:val="center"/>
                              <w:rPr>
                                <w:rFonts w:ascii="Calibri" w:hAnsi="Calibri" w:cs="Calibri"/>
                                <w:sz w:val="20"/>
                                <w:szCs w:val="20"/>
                              </w:rPr>
                            </w:pPr>
                            <w:r w:rsidRPr="00A43F5A">
                              <w:rPr>
                                <w:rFonts w:ascii="Calibri" w:hAnsi="Calibri" w:cs="Calibri"/>
                                <w:sz w:val="20"/>
                                <w:szCs w:val="20"/>
                              </w:rPr>
                              <w:t>4</w:t>
                            </w:r>
                          </w:p>
                          <w:p w14:paraId="4523ACA5" w14:textId="176B7504" w:rsidR="00294586" w:rsidRDefault="00294586" w:rsidP="00294586">
                            <w:pPr>
                              <w:jc w:val="center"/>
                            </w:pPr>
                            <w:r>
                              <w:rPr>
                                <w:rFonts w:ascii="Calibri" w:hAnsi="Calibri" w:cs="Calibri"/>
                                <w:sz w:val="20"/>
                                <w:szCs w:val="20"/>
                              </w:rPr>
                              <w:t>A</w:t>
                            </w:r>
                            <w:r w:rsidRPr="00A43F5A">
                              <w:rPr>
                                <w:rFonts w:ascii="Calibri" w:hAnsi="Calibri" w:cs="Calibri"/>
                                <w:sz w:val="20"/>
                                <w:szCs w:val="20"/>
                              </w:rPr>
                              <w:t>cuerdos de base para la negociación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487AED" id="Rectángulo: esquinas redondeadas 2" o:spid="_x0000_s1026" style="position:absolute;left:0;text-align:left;margin-left:326.55pt;margin-top:1.6pt;width:79.45pt;height:67.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" fillcolor="#4f81bd [3204]" strokecolor="#4579b8 [3044]">
                <v:fill color2="#a7bfde [1620]" rotate="t" angle="180" focus="100%" type="gradient">
                  <o:fill v:ext="view" type="gradientUnscaled"/>
                </v:fill>
                <v:shadow on="t" color="black" opacity="22937f" origin=",.5" offset="0,.63889mm"/>
                <v:textbox>
                  <w:txbxContent>
                    <w:p w14:paraId="00FA024E" w14:textId="77777777" w:rsidR="00294586" w:rsidRPr="00A43F5A" w:rsidRDefault="00294586" w:rsidP="00294586">
                      <w:pPr>
                        <w:jc w:val="center"/>
                        <w:rPr>
                          <w:rFonts w:ascii="Calibri" w:hAnsi="Calibri" w:cs="Calibri"/>
                          <w:sz w:val="20"/>
                          <w:szCs w:val="20"/>
                        </w:rPr>
                      </w:pPr>
                      <w:r w:rsidRPr="00A43F5A">
                        <w:rPr>
                          <w:rFonts w:ascii="Calibri" w:hAnsi="Calibri" w:cs="Calibri"/>
                          <w:sz w:val="20"/>
                          <w:szCs w:val="20"/>
                        </w:rPr>
                        <w:t>4</w:t>
                      </w:r>
                    </w:p>
                    <w:p w14:paraId="4523ACA5" w14:textId="176B7504" w:rsidR="00294586" w:rsidRDefault="00294586" w:rsidP="00294586">
                      <w:pPr>
                        <w:jc w:val="center"/>
                      </w:pPr>
                      <w:r>
                        <w:rPr>
                          <w:rFonts w:ascii="Calibri" w:hAnsi="Calibri" w:cs="Calibri"/>
                          <w:sz w:val="20"/>
                          <w:szCs w:val="20"/>
                        </w:rPr>
                        <w:t>A</w:t>
                      </w:r>
                      <w:r w:rsidRPr="00A43F5A">
                        <w:rPr>
                          <w:rFonts w:ascii="Calibri" w:hAnsi="Calibri" w:cs="Calibri"/>
                          <w:sz w:val="20"/>
                          <w:szCs w:val="20"/>
                        </w:rPr>
                        <w:t>cuerdos de base para la negociación</w:t>
                      </w:r>
                    </w:p>
                  </w:txbxContent>
                </v:textbox>
              </v:roundrect>
            </w:pict>
          </mc:Fallback>
        </mc:AlternateContent>
      </w:r>
      <w:r>
        <w:rPr>
          <w:rFonts w:ascii="Calibri" w:hAnsi="Calibri" w:cs="Calibri"/>
          <w:noProof/>
          <w:sz w:val="20"/>
          <w:szCs w:val="20"/>
        </w:rPr>
        <mc:AlternateContent>
          <mc:Choice Requires="wps">
            <w:drawing>
              <wp:anchor distT="0" distB="0" distL="114300" distR="114300" simplePos="0" relativeHeight="251663360" behindDoc="0" locked="0" layoutInCell="1" allowOverlap="1" wp14:anchorId="0F125D0B" wp14:editId="0D3D297B">
                <wp:simplePos x="0" y="0"/>
                <wp:positionH relativeFrom="column">
                  <wp:posOffset>2815895</wp:posOffset>
                </wp:positionH>
                <wp:positionV relativeFrom="paragraph">
                  <wp:posOffset>20015</wp:posOffset>
                </wp:positionV>
                <wp:extent cx="1009015" cy="847801"/>
                <wp:effectExtent l="57150" t="19050" r="76835" b="104775"/>
                <wp:wrapNone/>
                <wp:docPr id="441212446" name="Rectángulo: esquinas redondeadas 2"/>
                <wp:cNvGraphicFramePr/>
                <a:graphic xmlns:a="http://schemas.openxmlformats.org/drawingml/2006/main">
                  <a:graphicData uri="http://schemas.microsoft.com/office/word/2010/wordprocessingShape">
                    <wps:wsp>
                      <wps:cNvSpPr/>
                      <wps:spPr>
                        <a:xfrm>
                          <a:off x="0" y="0"/>
                          <a:ext cx="1009015" cy="847801"/>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E6CFE9D" w14:textId="77777777" w:rsidR="00294586" w:rsidRPr="00A43F5A" w:rsidRDefault="00294586" w:rsidP="00294586">
                            <w:pPr>
                              <w:jc w:val="center"/>
                              <w:rPr>
                                <w:rFonts w:ascii="Calibri" w:hAnsi="Calibri" w:cs="Calibri"/>
                                <w:sz w:val="20"/>
                                <w:szCs w:val="20"/>
                              </w:rPr>
                            </w:pPr>
                            <w:r w:rsidRPr="00A43F5A">
                              <w:rPr>
                                <w:rFonts w:ascii="Calibri" w:hAnsi="Calibri" w:cs="Calibri"/>
                                <w:sz w:val="20"/>
                                <w:szCs w:val="20"/>
                              </w:rPr>
                              <w:t>16</w:t>
                            </w:r>
                          </w:p>
                          <w:p w14:paraId="246D3955" w14:textId="4148F547" w:rsidR="00294586" w:rsidRDefault="00294586" w:rsidP="00294586">
                            <w:pPr>
                              <w:jc w:val="center"/>
                            </w:pPr>
                            <w:r>
                              <w:rPr>
                                <w:rFonts w:ascii="Calibri" w:hAnsi="Calibri" w:cs="Calibri"/>
                                <w:sz w:val="20"/>
                                <w:szCs w:val="20"/>
                              </w:rPr>
                              <w:t>R</w:t>
                            </w:r>
                            <w:r w:rsidRPr="00A43F5A">
                              <w:rPr>
                                <w:rFonts w:ascii="Calibri" w:hAnsi="Calibri" w:cs="Calibri"/>
                                <w:sz w:val="20"/>
                                <w:szCs w:val="20"/>
                              </w:rPr>
                              <w:t>espuestas técnicas propuestas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125D0B" id="_x0000_s1027" style="position:absolute;left:0;text-align:left;margin-left:221.7pt;margin-top:1.6pt;width:79.45pt;height:6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" fillcolor="#4f81bd [3204]" strokecolor="#4579b8 [3044]">
                <v:fill color2="#a7bfde [1620]" rotate="t" angle="180" focus="100%" type="gradient">
                  <o:fill v:ext="view" type="gradientUnscaled"/>
                </v:fill>
                <v:shadow on="t" color="black" opacity="22937f" origin=",.5" offset="0,.63889mm"/>
                <v:textbox>
                  <w:txbxContent>
                    <w:p w14:paraId="7E6CFE9D" w14:textId="77777777" w:rsidR="00294586" w:rsidRPr="00A43F5A" w:rsidRDefault="00294586" w:rsidP="00294586">
                      <w:pPr>
                        <w:jc w:val="center"/>
                        <w:rPr>
                          <w:rFonts w:ascii="Calibri" w:hAnsi="Calibri" w:cs="Calibri"/>
                          <w:sz w:val="20"/>
                          <w:szCs w:val="20"/>
                        </w:rPr>
                      </w:pPr>
                      <w:r w:rsidRPr="00A43F5A">
                        <w:rPr>
                          <w:rFonts w:ascii="Calibri" w:hAnsi="Calibri" w:cs="Calibri"/>
                          <w:sz w:val="20"/>
                          <w:szCs w:val="20"/>
                        </w:rPr>
                        <w:t>16</w:t>
                      </w:r>
                    </w:p>
                    <w:p w14:paraId="246D3955" w14:textId="4148F547" w:rsidR="00294586" w:rsidRDefault="00294586" w:rsidP="00294586">
                      <w:pPr>
                        <w:jc w:val="center"/>
                      </w:pPr>
                      <w:r>
                        <w:rPr>
                          <w:rFonts w:ascii="Calibri" w:hAnsi="Calibri" w:cs="Calibri"/>
                          <w:sz w:val="20"/>
                          <w:szCs w:val="20"/>
                        </w:rPr>
                        <w:t>R</w:t>
                      </w:r>
                      <w:r w:rsidRPr="00A43F5A">
                        <w:rPr>
                          <w:rFonts w:ascii="Calibri" w:hAnsi="Calibri" w:cs="Calibri"/>
                          <w:sz w:val="20"/>
                          <w:szCs w:val="20"/>
                        </w:rPr>
                        <w:t>espuestas técnicas propuestas</w:t>
                      </w:r>
                    </w:p>
                  </w:txbxContent>
                </v:textbox>
              </v:roundrect>
            </w:pict>
          </mc:Fallback>
        </mc:AlternateContent>
      </w:r>
      <w:r>
        <w:rPr>
          <w:rFonts w:ascii="Calibri" w:hAnsi="Calibri" w:cs="Calibri"/>
          <w:noProof/>
          <w:sz w:val="20"/>
          <w:szCs w:val="20"/>
        </w:rPr>
        <mc:AlternateContent>
          <mc:Choice Requires="wps">
            <w:drawing>
              <wp:anchor distT="0" distB="0" distL="114300" distR="114300" simplePos="0" relativeHeight="251665408" behindDoc="0" locked="0" layoutInCell="1" allowOverlap="1" wp14:anchorId="7287C7E9" wp14:editId="4A363CDC">
                <wp:simplePos x="0" y="0"/>
                <wp:positionH relativeFrom="margin">
                  <wp:posOffset>1389431</wp:posOffset>
                </wp:positionH>
                <wp:positionV relativeFrom="paragraph">
                  <wp:posOffset>20015</wp:posOffset>
                </wp:positionV>
                <wp:extent cx="1009015" cy="844144"/>
                <wp:effectExtent l="57150" t="19050" r="76835" b="89535"/>
                <wp:wrapNone/>
                <wp:docPr id="1668402798" name="Rectángulo: esquinas redondeadas 2"/>
                <wp:cNvGraphicFramePr/>
                <a:graphic xmlns:a="http://schemas.openxmlformats.org/drawingml/2006/main">
                  <a:graphicData uri="http://schemas.microsoft.com/office/word/2010/wordprocessingShape">
                    <wps:wsp>
                      <wps:cNvSpPr/>
                      <wps:spPr>
                        <a:xfrm>
                          <a:off x="0" y="0"/>
                          <a:ext cx="1009015" cy="844144"/>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8DFCC46" w14:textId="77777777" w:rsidR="00294586" w:rsidRPr="00A43F5A" w:rsidRDefault="00294586" w:rsidP="00294586">
                            <w:pPr>
                              <w:jc w:val="center"/>
                              <w:rPr>
                                <w:rFonts w:ascii="Calibri" w:hAnsi="Calibri" w:cs="Calibri"/>
                                <w:sz w:val="20"/>
                                <w:szCs w:val="20"/>
                              </w:rPr>
                            </w:pPr>
                            <w:r w:rsidRPr="00A43F5A">
                              <w:rPr>
                                <w:rFonts w:ascii="Calibri" w:hAnsi="Calibri" w:cs="Calibri"/>
                                <w:sz w:val="20"/>
                                <w:szCs w:val="20"/>
                              </w:rPr>
                              <w:t>16</w:t>
                            </w:r>
                          </w:p>
                          <w:p w14:paraId="0CAC3CCD" w14:textId="640C1BC9" w:rsidR="00294586" w:rsidRPr="00A43F5A" w:rsidRDefault="00294586" w:rsidP="00294586">
                            <w:pPr>
                              <w:jc w:val="center"/>
                              <w:rPr>
                                <w:rFonts w:ascii="Calibri" w:hAnsi="Calibri" w:cs="Calibri"/>
                                <w:sz w:val="20"/>
                                <w:szCs w:val="20"/>
                              </w:rPr>
                            </w:pPr>
                            <w:r>
                              <w:rPr>
                                <w:rFonts w:ascii="Calibri" w:hAnsi="Calibri" w:cs="Calibri"/>
                                <w:sz w:val="20"/>
                                <w:szCs w:val="20"/>
                              </w:rPr>
                              <w:t>O</w:t>
                            </w:r>
                            <w:r w:rsidRPr="00A43F5A">
                              <w:rPr>
                                <w:rFonts w:ascii="Calibri" w:hAnsi="Calibri" w:cs="Calibri"/>
                                <w:sz w:val="20"/>
                                <w:szCs w:val="20"/>
                              </w:rPr>
                              <w:t>bjeciones específicas anticipadas</w:t>
                            </w:r>
                          </w:p>
                          <w:p w14:paraId="27E9AA47" w14:textId="77777777" w:rsidR="00294586" w:rsidRDefault="00294586" w:rsidP="00294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87C7E9" id="_x0000_s1028" style="position:absolute;left:0;text-align:left;margin-left:109.4pt;margin-top:1.6pt;width:79.45pt;height:66.4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" fillcolor="#4f81bd [3204]" strokecolor="#4579b8 [3044]">
                <v:fill color2="#a7bfde [1620]" rotate="t" angle="180" focus="100%" type="gradient">
                  <o:fill v:ext="view" type="gradientUnscaled"/>
                </v:fill>
                <v:shadow on="t" color="black" opacity="22937f" origin=",.5" offset="0,.63889mm"/>
                <v:textbox>
                  <w:txbxContent>
                    <w:p w14:paraId="08DFCC46" w14:textId="77777777" w:rsidR="00294586" w:rsidRPr="00A43F5A" w:rsidRDefault="00294586" w:rsidP="00294586">
                      <w:pPr>
                        <w:jc w:val="center"/>
                        <w:rPr>
                          <w:rFonts w:ascii="Calibri" w:hAnsi="Calibri" w:cs="Calibri"/>
                          <w:sz w:val="20"/>
                          <w:szCs w:val="20"/>
                        </w:rPr>
                      </w:pPr>
                      <w:r w:rsidRPr="00A43F5A">
                        <w:rPr>
                          <w:rFonts w:ascii="Calibri" w:hAnsi="Calibri" w:cs="Calibri"/>
                          <w:sz w:val="20"/>
                          <w:szCs w:val="20"/>
                        </w:rPr>
                        <w:t>16</w:t>
                      </w:r>
                    </w:p>
                    <w:p w14:paraId="0CAC3CCD" w14:textId="640C1BC9" w:rsidR="00294586" w:rsidRPr="00A43F5A" w:rsidRDefault="00294586" w:rsidP="00294586">
                      <w:pPr>
                        <w:jc w:val="center"/>
                        <w:rPr>
                          <w:rFonts w:ascii="Calibri" w:hAnsi="Calibri" w:cs="Calibri"/>
                          <w:sz w:val="20"/>
                          <w:szCs w:val="20"/>
                        </w:rPr>
                      </w:pPr>
                      <w:r>
                        <w:rPr>
                          <w:rFonts w:ascii="Calibri" w:hAnsi="Calibri" w:cs="Calibri"/>
                          <w:sz w:val="20"/>
                          <w:szCs w:val="20"/>
                        </w:rPr>
                        <w:t>O</w:t>
                      </w:r>
                      <w:r w:rsidRPr="00A43F5A">
                        <w:rPr>
                          <w:rFonts w:ascii="Calibri" w:hAnsi="Calibri" w:cs="Calibri"/>
                          <w:sz w:val="20"/>
                          <w:szCs w:val="20"/>
                        </w:rPr>
                        <w:t>bjeciones específicas anticipadas</w:t>
                      </w:r>
                    </w:p>
                    <w:p w14:paraId="27E9AA47" w14:textId="77777777" w:rsidR="00294586" w:rsidRDefault="00294586" w:rsidP="00294586">
                      <w:pPr>
                        <w:jc w:val="center"/>
                      </w:pPr>
                    </w:p>
                  </w:txbxContent>
                </v:textbox>
                <w10:wrap anchorx="margin"/>
              </v:roundrect>
            </w:pict>
          </mc:Fallback>
        </mc:AlternateContent>
      </w:r>
      <w:r>
        <w:rPr>
          <w:rFonts w:ascii="Calibri" w:hAnsi="Calibri" w:cs="Calibri"/>
          <w:noProof/>
          <w:sz w:val="20"/>
          <w:szCs w:val="20"/>
        </w:rPr>
        <mc:AlternateContent>
          <mc:Choice Requires="wps">
            <w:drawing>
              <wp:anchor distT="0" distB="0" distL="114300" distR="114300" simplePos="0" relativeHeight="251659264" behindDoc="0" locked="0" layoutInCell="1" allowOverlap="1" wp14:anchorId="2E9F6279" wp14:editId="4D38192D">
                <wp:simplePos x="0" y="0"/>
                <wp:positionH relativeFrom="column">
                  <wp:posOffset>17831</wp:posOffset>
                </wp:positionH>
                <wp:positionV relativeFrom="paragraph">
                  <wp:posOffset>16358</wp:posOffset>
                </wp:positionV>
                <wp:extent cx="1009015" cy="833170"/>
                <wp:effectExtent l="57150" t="19050" r="76835" b="100330"/>
                <wp:wrapNone/>
                <wp:docPr id="1512879533" name="Rectángulo: esquinas redondeadas 2"/>
                <wp:cNvGraphicFramePr/>
                <a:graphic xmlns:a="http://schemas.openxmlformats.org/drawingml/2006/main">
                  <a:graphicData uri="http://schemas.microsoft.com/office/word/2010/wordprocessingShape">
                    <wps:wsp>
                      <wps:cNvSpPr/>
                      <wps:spPr>
                        <a:xfrm>
                          <a:off x="0" y="0"/>
                          <a:ext cx="1009015" cy="83317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7C774C3F" w14:textId="46682CD3" w:rsidR="00294586" w:rsidRDefault="00294586" w:rsidP="00294586">
                            <w:pPr>
                              <w:jc w:val="center"/>
                              <w:rPr>
                                <w:lang w:val="es-MX"/>
                              </w:rPr>
                            </w:pPr>
                            <w:r>
                              <w:rPr>
                                <w:lang w:val="es-MX"/>
                              </w:rPr>
                              <w:t>4</w:t>
                            </w:r>
                          </w:p>
                          <w:p w14:paraId="1A60604C" w14:textId="47E05598" w:rsidR="00294586" w:rsidRPr="00294586" w:rsidRDefault="00294586" w:rsidP="00294586">
                            <w:pPr>
                              <w:jc w:val="center"/>
                              <w:rPr>
                                <w:sz w:val="16"/>
                                <w:szCs w:val="16"/>
                                <w:lang w:val="es-MX"/>
                              </w:rPr>
                            </w:pPr>
                            <w:r w:rsidRPr="00294586">
                              <w:rPr>
                                <w:sz w:val="16"/>
                                <w:szCs w:val="16"/>
                                <w:lang w:val="es-MX"/>
                              </w:rPr>
                              <w:t>Actores institucionale</w:t>
                            </w:r>
                            <w:r>
                              <w:rPr>
                                <w:sz w:val="16"/>
                                <w:szCs w:val="16"/>
                                <w:lang w:val="es-MX"/>
                              </w:rPr>
                              <w:t>s con objeciones identificadas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9F6279" id="_x0000_s1029" style="position:absolute;left:0;text-align:left;margin-left:1.4pt;margin-top:1.3pt;width:79.45pt;height:6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" fillcolor="#4f81bd [3204]" strokecolor="#4579b8 [3044]">
                <v:fill color2="#a7bfde [1620]" rotate="t" angle="180" focus="100%" type="gradient">
                  <o:fill v:ext="view" type="gradientUnscaled"/>
                </v:fill>
                <v:shadow on="t" color="black" opacity="22937f" origin=",.5" offset="0,.63889mm"/>
                <v:textbox>
                  <w:txbxContent>
                    <w:p w14:paraId="7C774C3F" w14:textId="46682CD3" w:rsidR="00294586" w:rsidRDefault="00294586" w:rsidP="00294586">
                      <w:pPr>
                        <w:jc w:val="center"/>
                        <w:rPr>
                          <w:lang w:val="es-MX"/>
                        </w:rPr>
                      </w:pPr>
                      <w:r>
                        <w:rPr>
                          <w:lang w:val="es-MX"/>
                        </w:rPr>
                        <w:t>4</w:t>
                      </w:r>
                    </w:p>
                    <w:p w14:paraId="1A60604C" w14:textId="47E05598" w:rsidR="00294586" w:rsidRPr="00294586" w:rsidRDefault="00294586" w:rsidP="00294586">
                      <w:pPr>
                        <w:jc w:val="center"/>
                        <w:rPr>
                          <w:sz w:val="16"/>
                          <w:szCs w:val="16"/>
                          <w:lang w:val="es-MX"/>
                        </w:rPr>
                      </w:pPr>
                      <w:r w:rsidRPr="00294586">
                        <w:rPr>
                          <w:sz w:val="16"/>
                          <w:szCs w:val="16"/>
                          <w:lang w:val="es-MX"/>
                        </w:rPr>
                        <w:t>Actores institucionale</w:t>
                      </w:r>
                      <w:r>
                        <w:rPr>
                          <w:sz w:val="16"/>
                          <w:szCs w:val="16"/>
                          <w:lang w:val="es-MX"/>
                        </w:rPr>
                        <w:t>s con objeciones identificadas</w:t>
                      </w:r>
                    </w:p>
                  </w:txbxContent>
                </v:textbox>
              </v:roundrect>
            </w:pict>
          </mc:Fallback>
        </mc:AlternateContent>
      </w:r>
    </w:p>
    <w:p w14:paraId="48162E5A" w14:textId="77777777" w:rsidR="00A43F5A" w:rsidRDefault="00A43F5A" w:rsidP="00A43F5A">
      <w:pPr>
        <w:jc w:val="both"/>
        <w:rPr>
          <w:rFonts w:ascii="Calibri" w:hAnsi="Calibri" w:cs="Calibri"/>
          <w:sz w:val="20"/>
          <w:szCs w:val="20"/>
        </w:rPr>
      </w:pPr>
    </w:p>
    <w:p w14:paraId="28A2CC43" w14:textId="77777777" w:rsidR="00A43F5A" w:rsidRDefault="00A43F5A" w:rsidP="00A43F5A">
      <w:pPr>
        <w:jc w:val="both"/>
        <w:rPr>
          <w:rFonts w:ascii="Calibri" w:hAnsi="Calibri" w:cs="Calibri"/>
          <w:sz w:val="20"/>
          <w:szCs w:val="20"/>
        </w:rPr>
      </w:pPr>
    </w:p>
    <w:p w14:paraId="20FEC0AD" w14:textId="77777777" w:rsidR="00A43F5A" w:rsidRPr="00A43F5A" w:rsidRDefault="00A43F5A" w:rsidP="00A43F5A">
      <w:pPr>
        <w:jc w:val="both"/>
        <w:rPr>
          <w:rFonts w:ascii="Calibri" w:hAnsi="Calibri" w:cs="Calibri"/>
          <w:sz w:val="20"/>
          <w:szCs w:val="20"/>
        </w:rPr>
      </w:pPr>
    </w:p>
    <w:p w14:paraId="6DA97D5F" w14:textId="77777777" w:rsidR="00294586" w:rsidRDefault="00294586" w:rsidP="00A43F5A">
      <w:pPr>
        <w:jc w:val="both"/>
        <w:rPr>
          <w:rFonts w:ascii="Calibri" w:hAnsi="Calibri" w:cs="Calibri"/>
          <w:sz w:val="20"/>
          <w:szCs w:val="20"/>
        </w:rPr>
      </w:pPr>
    </w:p>
    <w:p w14:paraId="79F2D606" w14:textId="77777777" w:rsidR="00294586" w:rsidRDefault="00294586" w:rsidP="00A43F5A">
      <w:pPr>
        <w:jc w:val="both"/>
        <w:rPr>
          <w:rFonts w:ascii="Calibri" w:hAnsi="Calibri" w:cs="Calibri"/>
          <w:sz w:val="20"/>
          <w:szCs w:val="20"/>
        </w:rPr>
      </w:pPr>
    </w:p>
    <w:p w14:paraId="7E4B6774" w14:textId="1074D9C5" w:rsidR="00A43F5A" w:rsidRPr="00A43F5A" w:rsidRDefault="00A43F5A" w:rsidP="00A43F5A">
      <w:pPr>
        <w:jc w:val="both"/>
        <w:rPr>
          <w:rFonts w:ascii="Calibri" w:hAnsi="Calibri" w:cs="Calibri"/>
          <w:sz w:val="20"/>
          <w:szCs w:val="20"/>
        </w:rPr>
      </w:pPr>
    </w:p>
    <w:p w14:paraId="2DCCC33B" w14:textId="77777777" w:rsidR="00A43F5A" w:rsidRDefault="00A43F5A" w:rsidP="00294586">
      <w:pPr>
        <w:pStyle w:val="Ttulo2"/>
        <w:rPr>
          <w:rFonts w:ascii="Calibri" w:hAnsi="Calibri" w:cs="Calibri"/>
          <w:sz w:val="20"/>
          <w:szCs w:val="20"/>
        </w:rPr>
      </w:pPr>
      <w:bookmarkStart w:id="36" w:name="_Toc228400964"/>
      <w:r w:rsidRPr="00294586">
        <w:rPr>
          <w:rFonts w:ascii="Calibri" w:hAnsi="Calibri" w:cs="Calibri"/>
          <w:sz w:val="20"/>
          <w:szCs w:val="20"/>
        </w:rPr>
        <w:t>Concesiones mínimas por actor para viabilizar la reforma</w:t>
      </w:r>
      <w:bookmarkEnd w:id="36"/>
    </w:p>
    <w:p w14:paraId="0C16426E" w14:textId="77777777" w:rsidR="00294586" w:rsidRDefault="00294586" w:rsidP="00294586"/>
    <w:p w14:paraId="72F9C9F6" w14:textId="77777777" w:rsidR="00294586" w:rsidRDefault="00294586" w:rsidP="00294586"/>
    <w:p w14:paraId="0866DA3D" w14:textId="64B8DFEF" w:rsidR="00294586" w:rsidRPr="00294586" w:rsidRDefault="00B94CC2" w:rsidP="00294586">
      <w:r>
        <w:rPr>
          <w:noProof/>
        </w:rPr>
        <w:drawing>
          <wp:inline distT="0" distB="0" distL="0" distR="0" wp14:anchorId="2373D321" wp14:editId="66F70E71">
            <wp:extent cx="5325466" cy="3690518"/>
            <wp:effectExtent l="0" t="0" r="0" b="5715"/>
            <wp:docPr id="218656055"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90CE3B8" w14:textId="77777777" w:rsidR="00B94CC2" w:rsidRDefault="00B94CC2" w:rsidP="00A43F5A">
      <w:pPr>
        <w:jc w:val="both"/>
        <w:rPr>
          <w:rFonts w:ascii="Calibri" w:hAnsi="Calibri" w:cs="Calibri"/>
          <w:sz w:val="20"/>
          <w:szCs w:val="20"/>
        </w:rPr>
      </w:pPr>
    </w:p>
    <w:p w14:paraId="6C66E065" w14:textId="77777777" w:rsidR="00B94CC2" w:rsidRDefault="00B94CC2">
      <w:pPr>
        <w:rPr>
          <w:rFonts w:ascii="Calibri" w:hAnsi="Calibri" w:cs="Calibri"/>
          <w:sz w:val="20"/>
          <w:szCs w:val="20"/>
        </w:rPr>
      </w:pPr>
      <w:r>
        <w:rPr>
          <w:rFonts w:ascii="Calibri" w:hAnsi="Calibri" w:cs="Calibri"/>
          <w:sz w:val="20"/>
          <w:szCs w:val="20"/>
        </w:rPr>
        <w:br w:type="page"/>
      </w:r>
    </w:p>
    <w:p w14:paraId="675B00F8" w14:textId="4E88AD22" w:rsidR="00A43F5A" w:rsidRPr="00B94CC2" w:rsidRDefault="00A43F5A" w:rsidP="00B94CC2">
      <w:pPr>
        <w:pStyle w:val="Ttulo2"/>
        <w:rPr>
          <w:rFonts w:ascii="Calibri" w:hAnsi="Calibri" w:cs="Calibri"/>
          <w:sz w:val="20"/>
          <w:szCs w:val="20"/>
        </w:rPr>
      </w:pPr>
      <w:bookmarkStart w:id="37" w:name="_Toc228400965"/>
      <w:r w:rsidRPr="00B94CC2">
        <w:rPr>
          <w:rFonts w:ascii="Calibri" w:hAnsi="Calibri" w:cs="Calibri"/>
          <w:sz w:val="20"/>
          <w:szCs w:val="20"/>
        </w:rPr>
        <w:lastRenderedPageBreak/>
        <w:t>Secuencia recomendada de negociación</w:t>
      </w:r>
      <w:bookmarkEnd w:id="37"/>
    </w:p>
    <w:p w14:paraId="49093B9D" w14:textId="626DDF40" w:rsidR="00B94CC2" w:rsidRDefault="00B94CC2" w:rsidP="00A43F5A">
      <w:pPr>
        <w:jc w:val="both"/>
        <w:rPr>
          <w:rFonts w:ascii="Calibri" w:hAnsi="Calibri" w:cs="Calibri"/>
          <w:sz w:val="20"/>
          <w:szCs w:val="20"/>
        </w:rPr>
      </w:pPr>
      <w:r>
        <w:rPr>
          <w:rFonts w:ascii="Calibri" w:hAnsi="Calibri" w:cs="Calibri"/>
          <w:noProof/>
          <w:sz w:val="20"/>
          <w:szCs w:val="20"/>
        </w:rPr>
        <w:drawing>
          <wp:inline distT="0" distB="0" distL="0" distR="0" wp14:anchorId="2C1A839A" wp14:editId="3BB96ED8">
            <wp:extent cx="5613654" cy="3200400"/>
            <wp:effectExtent l="12700" t="12700" r="12700" b="12700"/>
            <wp:docPr id="173019567"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B2319AC" w14:textId="77777777" w:rsidR="00B94CC2" w:rsidRDefault="00B94CC2" w:rsidP="00A43F5A">
      <w:pPr>
        <w:jc w:val="both"/>
        <w:rPr>
          <w:rFonts w:ascii="Calibri" w:hAnsi="Calibri" w:cs="Calibri"/>
          <w:sz w:val="20"/>
          <w:szCs w:val="20"/>
        </w:rPr>
      </w:pPr>
    </w:p>
    <w:p w14:paraId="7D1F9C4A" w14:textId="77777777" w:rsidR="00B94CC2" w:rsidRDefault="00B94CC2" w:rsidP="00A43F5A">
      <w:pPr>
        <w:jc w:val="both"/>
        <w:rPr>
          <w:rFonts w:ascii="Calibri" w:hAnsi="Calibri" w:cs="Calibri"/>
          <w:sz w:val="20"/>
          <w:szCs w:val="20"/>
        </w:rPr>
      </w:pPr>
    </w:p>
    <w:p w14:paraId="7BBCB164" w14:textId="77777777" w:rsidR="00B94CC2" w:rsidRDefault="00B94CC2" w:rsidP="00A43F5A">
      <w:pPr>
        <w:jc w:val="both"/>
        <w:rPr>
          <w:rFonts w:ascii="Calibri" w:hAnsi="Calibri" w:cs="Calibri"/>
          <w:sz w:val="20"/>
          <w:szCs w:val="20"/>
        </w:rPr>
      </w:pPr>
    </w:p>
    <w:p w14:paraId="35B2BFFF" w14:textId="390904BF" w:rsidR="00A43F5A" w:rsidRPr="00A43F5A" w:rsidRDefault="00A43F5A" w:rsidP="00A43F5A">
      <w:pPr>
        <w:jc w:val="both"/>
        <w:rPr>
          <w:rFonts w:ascii="Calibri" w:hAnsi="Calibri" w:cs="Calibri"/>
          <w:sz w:val="20"/>
          <w:szCs w:val="20"/>
        </w:rPr>
      </w:pPr>
      <w:r w:rsidRPr="00B94CC2">
        <w:rPr>
          <w:rFonts w:ascii="Calibri" w:hAnsi="Calibri" w:cs="Calibri"/>
          <w:b/>
          <w:bCs/>
          <w:sz w:val="20"/>
          <w:szCs w:val="20"/>
        </w:rPr>
        <w:t>Principio negociador central:</w:t>
      </w:r>
      <w:r w:rsidRPr="00A43F5A">
        <w:rPr>
          <w:rFonts w:ascii="Calibri" w:hAnsi="Calibri" w:cs="Calibri"/>
          <w:sz w:val="20"/>
          <w:szCs w:val="20"/>
        </w:rPr>
        <w:t> </w:t>
      </w:r>
      <w:r w:rsidR="00B94CC2">
        <w:rPr>
          <w:rFonts w:ascii="Calibri" w:hAnsi="Calibri" w:cs="Calibri"/>
          <w:sz w:val="20"/>
          <w:szCs w:val="20"/>
        </w:rPr>
        <w:t>N</w:t>
      </w:r>
      <w:r w:rsidRPr="00A43F5A">
        <w:rPr>
          <w:rFonts w:ascii="Calibri" w:hAnsi="Calibri" w:cs="Calibri"/>
          <w:sz w:val="20"/>
          <w:szCs w:val="20"/>
        </w:rPr>
        <w:t>ingún actor pierde poder real con esta reforma. La CEN gana profundidad técnica; la Superintendencia gana visibilidad como administradora del registro; los empleadores ganan certeza jurídica y proceso simplificado; los trabajadores ganan cobertura efectiva para los más vulnerables. El conflicto es sobre la distribución del control del proceso, no sobre los beneficios del resultado.</w:t>
      </w:r>
    </w:p>
    <w:p w14:paraId="63AE5D63" w14:textId="545A5361" w:rsidR="00B94CC2" w:rsidRDefault="00B94CC2">
      <w:pPr>
        <w:rPr>
          <w:rFonts w:ascii="Calibri" w:hAnsi="Calibri" w:cs="Calibri"/>
          <w:sz w:val="20"/>
          <w:szCs w:val="20"/>
        </w:rPr>
      </w:pPr>
      <w:r>
        <w:rPr>
          <w:rFonts w:ascii="Calibri" w:hAnsi="Calibri" w:cs="Calibri"/>
          <w:sz w:val="20"/>
          <w:szCs w:val="20"/>
        </w:rPr>
        <w:br w:type="page"/>
      </w:r>
    </w:p>
    <w:p w14:paraId="3DA2B109" w14:textId="12EA2F6C" w:rsidR="008D3AF5" w:rsidRPr="00377CFD" w:rsidRDefault="00000000" w:rsidP="004726E2">
      <w:pPr>
        <w:pStyle w:val="Ttulo2"/>
        <w:jc w:val="both"/>
        <w:rPr>
          <w:rFonts w:asciiTheme="majorHAnsi" w:hAnsiTheme="majorHAnsi" w:cstheme="majorHAnsi"/>
          <w:sz w:val="20"/>
          <w:szCs w:val="20"/>
        </w:rPr>
      </w:pPr>
      <w:bookmarkStart w:id="38" w:name="_Toc228400966"/>
      <w:r w:rsidRPr="00377CFD">
        <w:rPr>
          <w:rFonts w:asciiTheme="majorHAnsi" w:hAnsiTheme="majorHAnsi" w:cstheme="majorHAnsi"/>
          <w:sz w:val="20"/>
          <w:szCs w:val="20"/>
        </w:rPr>
        <w:lastRenderedPageBreak/>
        <w:t>6.2 Mecanismos de Flexibilidad para Casos Excepcionales</w:t>
      </w:r>
      <w:bookmarkEnd w:id="38"/>
    </w:p>
    <w:p w14:paraId="256E8342"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reforma incorpora las siguientes válvulas de flexibilidad que evitan la rigidez del sistema automático:</w:t>
      </w:r>
    </w:p>
    <w:p w14:paraId="1BAE3E6A" w14:textId="77777777" w:rsidR="008D3AF5" w:rsidRPr="00377CFD" w:rsidRDefault="00000000" w:rsidP="00066FC0">
      <w:pPr>
        <w:numPr>
          <w:ilvl w:val="0"/>
          <w:numId w:val="3"/>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Impugnación RENAPMA por el empleador: si el empleador considera que su puesto ha sido inscrito incorrectamente (o fue inscrito a instancia del trabajador), puede impugnar ante la CEN dentro de 30 días hábiles. La CEN tiene 45 días hábiles para resolver.</w:t>
      </w:r>
    </w:p>
    <w:p w14:paraId="069D2E45" w14:textId="77777777" w:rsidR="008D3AF5" w:rsidRPr="00377CFD" w:rsidRDefault="00000000" w:rsidP="00066FC0">
      <w:pPr>
        <w:numPr>
          <w:ilvl w:val="0"/>
          <w:numId w:val="3"/>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Impugnación por el trabajador o sindicato: si se considera que las condiciones son más graves de lo que el factor objetivo captura, el trabajador o sindicato puede solicitar a la CEN una evaluación complementaria adicional que podría redundar en cotización del 2% en lugar del 1%.</w:t>
      </w:r>
    </w:p>
    <w:p w14:paraId="5704C4AA" w14:textId="77777777" w:rsidR="008D3AF5" w:rsidRPr="00377CFD" w:rsidRDefault="00000000" w:rsidP="00066FC0">
      <w:pPr>
        <w:numPr>
          <w:ilvl w:val="0"/>
          <w:numId w:val="3"/>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Actualización de umbrales: el subcomité técnico de la CEN revisará cada 3 años los umbrales de los factores objetivos a la luz de nueva evidencia científica. Si la evidencia indica que un umbral es demasiado generoso, se ajusta; si es demasiado restrictivo, también.</w:t>
      </w:r>
    </w:p>
    <w:p w14:paraId="6CF97F0D" w14:textId="1AC2E37E" w:rsidR="008D3AF5" w:rsidRPr="00066FC0" w:rsidRDefault="00000000" w:rsidP="00066FC0">
      <w:pPr>
        <w:numPr>
          <w:ilvl w:val="0"/>
          <w:numId w:val="3"/>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Cláusula de mejora tecnológica: si un empleador demuestra haber implementado controles de ingeniería que reducen genuinamente el nivel de riesgo por debajo del umbral (p. ej., sistemas de ventilación que bajan el ruido de 87 a 78 dB(A)), puede solicitar la des</w:t>
      </w:r>
      <w:r w:rsidR="00066FC0">
        <w:rPr>
          <w:rFonts w:asciiTheme="majorHAnsi" w:hAnsiTheme="majorHAnsi" w:cstheme="majorHAnsi"/>
          <w:color w:val="1A1A1A"/>
          <w:sz w:val="20"/>
          <w:szCs w:val="20"/>
        </w:rPr>
        <w:t>-</w:t>
      </w:r>
      <w:r w:rsidRPr="00377CFD">
        <w:rPr>
          <w:rFonts w:asciiTheme="majorHAnsi" w:hAnsiTheme="majorHAnsi" w:cstheme="majorHAnsi"/>
          <w:color w:val="1A1A1A"/>
          <w:sz w:val="20"/>
          <w:szCs w:val="20"/>
        </w:rPr>
        <w:t>inscripción del puesto, que la CEN evaluará en 45 días.</w:t>
      </w:r>
    </w:p>
    <w:p w14:paraId="6771031C" w14:textId="38550B39" w:rsidR="00066FC0" w:rsidRDefault="00066FC0">
      <w:pPr>
        <w:rPr>
          <w:rFonts w:asciiTheme="majorHAnsi" w:hAnsiTheme="majorHAnsi" w:cstheme="majorHAnsi"/>
          <w:color w:val="1A1A1A"/>
          <w:sz w:val="20"/>
          <w:szCs w:val="20"/>
        </w:rPr>
      </w:pPr>
    </w:p>
    <w:p w14:paraId="562E1458" w14:textId="77777777" w:rsidR="00F72369" w:rsidRDefault="00F72369">
      <w:pPr>
        <w:rPr>
          <w:rFonts w:asciiTheme="majorHAnsi" w:hAnsiTheme="majorHAnsi" w:cstheme="majorHAnsi"/>
          <w:color w:val="1A1A1A"/>
          <w:sz w:val="20"/>
          <w:szCs w:val="20"/>
        </w:rPr>
      </w:pPr>
    </w:p>
    <w:p w14:paraId="752A1608" w14:textId="4C97C110" w:rsidR="00F72369" w:rsidRPr="00F72369" w:rsidRDefault="00F72369" w:rsidP="00F72369">
      <w:pPr>
        <w:jc w:val="both"/>
        <w:rPr>
          <w:rFonts w:ascii="Calibri" w:hAnsi="Calibri" w:cs="Calibri"/>
          <w:color w:val="1A1A1A"/>
          <w:sz w:val="20"/>
          <w:szCs w:val="20"/>
        </w:rPr>
      </w:pPr>
      <w:r w:rsidRPr="00F72369">
        <w:rPr>
          <w:rFonts w:ascii="Calibri" w:hAnsi="Calibri" w:cs="Calibri"/>
          <w:color w:val="1A1A1A"/>
          <w:sz w:val="20"/>
          <w:szCs w:val="20"/>
        </w:rPr>
        <w:t>Algunos puntos que vale la pena destacar:</w:t>
      </w:r>
    </w:p>
    <w:p w14:paraId="3BDEC648" w14:textId="77777777" w:rsidR="00F72369" w:rsidRPr="00F72369" w:rsidRDefault="00F72369" w:rsidP="00F72369">
      <w:pPr>
        <w:jc w:val="both"/>
        <w:rPr>
          <w:rFonts w:ascii="Calibri" w:hAnsi="Calibri" w:cs="Calibri"/>
          <w:color w:val="1A1A1A"/>
          <w:sz w:val="20"/>
          <w:szCs w:val="20"/>
        </w:rPr>
      </w:pPr>
    </w:p>
    <w:p w14:paraId="6A9C18A4" w14:textId="2AC0A74C" w:rsidR="00F72369" w:rsidRDefault="00F72369" w:rsidP="00F72369">
      <w:pPr>
        <w:jc w:val="both"/>
        <w:rPr>
          <w:rFonts w:ascii="Calibri" w:hAnsi="Calibri" w:cs="Calibri"/>
          <w:color w:val="1A1A1A"/>
          <w:sz w:val="20"/>
          <w:szCs w:val="20"/>
        </w:rPr>
      </w:pPr>
      <w:r w:rsidRPr="00F72369">
        <w:rPr>
          <w:rFonts w:ascii="Calibri" w:hAnsi="Calibri" w:cs="Calibri"/>
          <w:color w:val="1A1A1A"/>
          <w:sz w:val="20"/>
          <w:szCs w:val="20"/>
        </w:rPr>
        <w:t xml:space="preserve">La </w:t>
      </w:r>
      <w:r w:rsidRPr="00F72369">
        <w:rPr>
          <w:rFonts w:ascii="Calibri" w:hAnsi="Calibri" w:cs="Calibri"/>
          <w:b/>
          <w:bCs/>
          <w:color w:val="1A1A1A"/>
          <w:sz w:val="20"/>
          <w:szCs w:val="20"/>
        </w:rPr>
        <w:t>CEN y la Superintendencia</w:t>
      </w:r>
      <w:r w:rsidRPr="00F72369">
        <w:rPr>
          <w:rFonts w:ascii="Calibri" w:hAnsi="Calibri" w:cs="Calibri"/>
          <w:color w:val="1A1A1A"/>
          <w:sz w:val="20"/>
          <w:szCs w:val="20"/>
        </w:rPr>
        <w:t xml:space="preserve"> son los actores más predecibles: su resistencia no es ideológica sino de identidad institucional y carga operativa. Ambas pueden convertirse en aliadas si el diseño les asigna roles más estratégicos que los actuales. La clave es que perciban la reforma como una evolución de su función, no como un desplazamiento.</w:t>
      </w:r>
    </w:p>
    <w:p w14:paraId="5779BB9B" w14:textId="77777777" w:rsidR="00F72369" w:rsidRPr="00F72369" w:rsidRDefault="00F72369" w:rsidP="00F72369">
      <w:pPr>
        <w:jc w:val="both"/>
        <w:rPr>
          <w:rFonts w:ascii="Calibri" w:hAnsi="Calibri" w:cs="Calibri"/>
          <w:color w:val="1A1A1A"/>
          <w:sz w:val="20"/>
          <w:szCs w:val="20"/>
        </w:rPr>
      </w:pPr>
    </w:p>
    <w:p w14:paraId="016A4B2F" w14:textId="77777777" w:rsidR="00F72369" w:rsidRDefault="00F72369" w:rsidP="00F72369">
      <w:pPr>
        <w:jc w:val="both"/>
        <w:rPr>
          <w:rFonts w:ascii="Calibri" w:hAnsi="Calibri" w:cs="Calibri"/>
          <w:color w:val="1A1A1A"/>
          <w:sz w:val="20"/>
          <w:szCs w:val="20"/>
        </w:rPr>
      </w:pPr>
      <w:r w:rsidRPr="00F72369">
        <w:rPr>
          <w:rFonts w:ascii="Calibri" w:hAnsi="Calibri" w:cs="Calibri"/>
          <w:color w:val="1A1A1A"/>
          <w:sz w:val="20"/>
          <w:szCs w:val="20"/>
        </w:rPr>
        <w:t xml:space="preserve">Los </w:t>
      </w:r>
      <w:r w:rsidRPr="00F72369">
        <w:rPr>
          <w:rFonts w:ascii="Calibri" w:hAnsi="Calibri" w:cs="Calibri"/>
          <w:b/>
          <w:bCs/>
          <w:color w:val="1A1A1A"/>
          <w:sz w:val="20"/>
          <w:szCs w:val="20"/>
        </w:rPr>
        <w:t>empleadores</w:t>
      </w:r>
      <w:r w:rsidRPr="00F72369">
        <w:rPr>
          <w:rFonts w:ascii="Calibri" w:hAnsi="Calibri" w:cs="Calibri"/>
          <w:color w:val="1A1A1A"/>
          <w:sz w:val="20"/>
          <w:szCs w:val="20"/>
        </w:rPr>
        <w:t xml:space="preserve"> presentan la objeción más sustantiva desde el punto de vista jurídico: la retroactividad de las cotizaciones. Es el único punto donde hay riesgo real de litigio constitucional si no se diseña con cuidado, porque puede presentarse como afectación retroactiva de derechos adquiridos. La solución —cuotas sin interés penal y exclusión de la buena fe documentada— es técnicamente sólida pero requiere redacción legal precisa.</w:t>
      </w:r>
    </w:p>
    <w:p w14:paraId="68F02AA0" w14:textId="77777777" w:rsidR="00F72369" w:rsidRPr="00F72369" w:rsidRDefault="00F72369" w:rsidP="00F72369">
      <w:pPr>
        <w:jc w:val="both"/>
        <w:rPr>
          <w:rFonts w:ascii="Calibri" w:hAnsi="Calibri" w:cs="Calibri"/>
          <w:color w:val="1A1A1A"/>
          <w:sz w:val="20"/>
          <w:szCs w:val="20"/>
        </w:rPr>
      </w:pPr>
    </w:p>
    <w:p w14:paraId="65D30A5C" w14:textId="12027AA5" w:rsidR="00F72369" w:rsidRDefault="00F72369" w:rsidP="00F72369">
      <w:pPr>
        <w:jc w:val="both"/>
        <w:rPr>
          <w:rFonts w:ascii="Calibri" w:hAnsi="Calibri" w:cs="Calibri"/>
          <w:color w:val="1A1A1A"/>
          <w:sz w:val="20"/>
          <w:szCs w:val="20"/>
        </w:rPr>
      </w:pPr>
      <w:r w:rsidRPr="00F72369">
        <w:rPr>
          <w:rFonts w:ascii="Calibri" w:hAnsi="Calibri" w:cs="Calibri"/>
          <w:color w:val="1A1A1A"/>
          <w:sz w:val="20"/>
          <w:szCs w:val="20"/>
        </w:rPr>
        <w:t xml:space="preserve">Los </w:t>
      </w:r>
      <w:r w:rsidRPr="00F72369">
        <w:rPr>
          <w:rFonts w:ascii="Calibri" w:hAnsi="Calibri" w:cs="Calibri"/>
          <w:b/>
          <w:bCs/>
          <w:color w:val="1A1A1A"/>
          <w:sz w:val="20"/>
          <w:szCs w:val="20"/>
        </w:rPr>
        <w:t>trabajadores</w:t>
      </w:r>
      <w:r w:rsidRPr="00F72369">
        <w:rPr>
          <w:rFonts w:ascii="Calibri" w:hAnsi="Calibri" w:cs="Calibri"/>
          <w:color w:val="1A1A1A"/>
          <w:sz w:val="20"/>
          <w:szCs w:val="20"/>
        </w:rPr>
        <w:t xml:space="preserve"> son en realidad los aliados naturales de la reforma, pero su desconfianza hacia la autodeclaración patronal es históricamente fundada en el sector minero. El mecanismo de auditor externo voluntario durante los primeros 12 meses es un costo mínimo que genera legitimidad política alta.</w:t>
      </w:r>
    </w:p>
    <w:p w14:paraId="79DBE65D" w14:textId="77777777" w:rsidR="00F72369" w:rsidRPr="00F72369" w:rsidRDefault="00F72369" w:rsidP="00F72369">
      <w:pPr>
        <w:jc w:val="both"/>
        <w:rPr>
          <w:rFonts w:ascii="Calibri" w:hAnsi="Calibri" w:cs="Calibri"/>
          <w:color w:val="1A1A1A"/>
          <w:sz w:val="20"/>
          <w:szCs w:val="20"/>
        </w:rPr>
      </w:pPr>
    </w:p>
    <w:p w14:paraId="6C4165C7" w14:textId="77777777" w:rsidR="00F72369" w:rsidRPr="00F72369" w:rsidRDefault="00F72369" w:rsidP="00F72369">
      <w:pPr>
        <w:jc w:val="both"/>
        <w:rPr>
          <w:rFonts w:ascii="Calibri" w:hAnsi="Calibri" w:cs="Calibri"/>
          <w:color w:val="1A1A1A"/>
          <w:sz w:val="20"/>
          <w:szCs w:val="20"/>
        </w:rPr>
      </w:pPr>
      <w:r w:rsidRPr="00F72369">
        <w:rPr>
          <w:rFonts w:ascii="Calibri" w:hAnsi="Calibri" w:cs="Calibri"/>
          <w:color w:val="1A1A1A"/>
          <w:sz w:val="20"/>
          <w:szCs w:val="20"/>
        </w:rPr>
        <w:t xml:space="preserve">El </w:t>
      </w:r>
      <w:r w:rsidRPr="00F72369">
        <w:rPr>
          <w:rFonts w:ascii="Calibri" w:hAnsi="Calibri" w:cs="Calibri"/>
          <w:b/>
          <w:bCs/>
          <w:color w:val="1A1A1A"/>
          <w:sz w:val="20"/>
          <w:szCs w:val="20"/>
        </w:rPr>
        <w:t>hallazgo más importante</w:t>
      </w:r>
      <w:r w:rsidRPr="00F72369">
        <w:rPr>
          <w:rFonts w:ascii="Calibri" w:hAnsi="Calibri" w:cs="Calibri"/>
          <w:color w:val="1A1A1A"/>
          <w:sz w:val="20"/>
          <w:szCs w:val="20"/>
        </w:rPr>
        <w:t xml:space="preserve"> de la síntesis es que ningún actor se opone al objetivo de la reforma (ampliar cobertura del trabajo pesado en minería); todos los conflictos son sobre el control del proceso. Eso hace que un acuerdo técnico previo al ingreso parlamentario sea no solo posible, sino estratégicamente decisivo.</w:t>
      </w:r>
    </w:p>
    <w:p w14:paraId="6BA3D2F9" w14:textId="77777777" w:rsidR="00F72369" w:rsidRDefault="00F72369">
      <w:pPr>
        <w:rPr>
          <w:rFonts w:asciiTheme="majorHAnsi" w:hAnsiTheme="majorHAnsi" w:cstheme="majorHAnsi"/>
          <w:color w:val="1A1A1A"/>
          <w:sz w:val="20"/>
          <w:szCs w:val="20"/>
        </w:rPr>
      </w:pPr>
    </w:p>
    <w:p w14:paraId="659C665A" w14:textId="3C0F844E" w:rsidR="00F72369" w:rsidRDefault="00F72369">
      <w:pPr>
        <w:rPr>
          <w:rFonts w:asciiTheme="majorHAnsi" w:hAnsiTheme="majorHAnsi" w:cstheme="majorHAnsi"/>
          <w:color w:val="1A1A1A"/>
          <w:sz w:val="20"/>
          <w:szCs w:val="20"/>
        </w:rPr>
      </w:pPr>
      <w:r>
        <w:rPr>
          <w:rFonts w:asciiTheme="majorHAnsi" w:hAnsiTheme="majorHAnsi" w:cstheme="majorHAnsi"/>
          <w:color w:val="1A1A1A"/>
          <w:sz w:val="20"/>
          <w:szCs w:val="20"/>
        </w:rPr>
        <w:br w:type="page"/>
      </w:r>
    </w:p>
    <w:p w14:paraId="2BA7D178" w14:textId="77777777" w:rsidR="008D3AF5" w:rsidRPr="00377CFD" w:rsidRDefault="00000000" w:rsidP="004726E2">
      <w:pPr>
        <w:pStyle w:val="Ttulo1"/>
        <w:pBdr>
          <w:bottom w:val="single" w:sz="10" w:space="0" w:color="C8922A"/>
        </w:pBdr>
        <w:jc w:val="both"/>
        <w:rPr>
          <w:rFonts w:asciiTheme="majorHAnsi" w:hAnsiTheme="majorHAnsi" w:cstheme="majorHAnsi"/>
          <w:sz w:val="20"/>
          <w:szCs w:val="20"/>
        </w:rPr>
      </w:pPr>
      <w:bookmarkStart w:id="39" w:name="_Toc228400967"/>
      <w:r w:rsidRPr="00377CFD">
        <w:rPr>
          <w:rFonts w:asciiTheme="majorHAnsi" w:hAnsiTheme="majorHAnsi" w:cstheme="majorHAnsi"/>
          <w:sz w:val="20"/>
          <w:szCs w:val="20"/>
        </w:rPr>
        <w:lastRenderedPageBreak/>
        <w:t>VII. CONCLUSIONES Y RECOMENDACIONES</w:t>
      </w:r>
      <w:bookmarkEnd w:id="39"/>
    </w:p>
    <w:p w14:paraId="601BB279" w14:textId="77777777" w:rsidR="008D3AF5" w:rsidRPr="00377CFD" w:rsidRDefault="00000000" w:rsidP="004726E2">
      <w:pPr>
        <w:pStyle w:val="Ttulo2"/>
        <w:jc w:val="both"/>
        <w:rPr>
          <w:rFonts w:asciiTheme="majorHAnsi" w:hAnsiTheme="majorHAnsi" w:cstheme="majorHAnsi"/>
          <w:sz w:val="20"/>
          <w:szCs w:val="20"/>
        </w:rPr>
      </w:pPr>
      <w:bookmarkStart w:id="40" w:name="_Toc228400968"/>
      <w:r w:rsidRPr="00377CFD">
        <w:rPr>
          <w:rFonts w:asciiTheme="majorHAnsi" w:hAnsiTheme="majorHAnsi" w:cstheme="majorHAnsi"/>
          <w:sz w:val="20"/>
          <w:szCs w:val="20"/>
        </w:rPr>
        <w:t>7.1 Síntesis del Problema y la Solución</w:t>
      </w:r>
      <w:bookmarkEnd w:id="40"/>
    </w:p>
    <w:p w14:paraId="219AA98B" w14:textId="77777777" w:rsidR="008D3AF5" w:rsidRPr="00377CFD" w:rsidRDefault="00000000" w:rsidP="004726E2">
      <w:pPr>
        <w:spacing w:after="100" w:line="276" w:lineRule="auto"/>
        <w:jc w:val="both"/>
        <w:rPr>
          <w:rFonts w:asciiTheme="majorHAnsi" w:hAnsiTheme="majorHAnsi" w:cstheme="majorHAnsi"/>
          <w:sz w:val="20"/>
          <w:szCs w:val="20"/>
        </w:rPr>
      </w:pPr>
      <w:r w:rsidRPr="00377CFD">
        <w:rPr>
          <w:rFonts w:asciiTheme="majorHAnsi" w:hAnsiTheme="majorHAnsi" w:cstheme="majorHAnsi"/>
          <w:color w:val="1A1A1A"/>
          <w:sz w:val="20"/>
          <w:szCs w:val="20"/>
        </w:rPr>
        <w:t>La Ley N° 19.404 representa un avance histórico en la protección previsional diferenciada para trabajadores de alto desgaste. Su arquitectura legal —especialmente la regla 2×5 para minas y fundiciones del Art. 2° y el Art. 68 bis del D.L. N° 3.500— contiene disposiciones de alta protección social que en la práctica minera son sistemáticamente inaplicadas por las fricciones del procedimiento de calificación. La reforma propuesta no cambia el espíritu ni la estructura de la ley: preserva la definición de trabajo pesado, el rol de la CEN, el sistema de cotizaciones adicionales y los mecanismos de impugnación. Lo que cambia es el punto de entrada: para los puestos mineros que cumplan condiciones objetivamente verificables, la calificación es automática desde el inicio de la condición, no desde el dictamen.</w:t>
      </w:r>
    </w:p>
    <w:p w14:paraId="45670E51"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1D9D0495" w14:textId="77777777" w:rsidR="008D3AF5" w:rsidRPr="00377CFD" w:rsidRDefault="00000000" w:rsidP="004726E2">
      <w:pPr>
        <w:pStyle w:val="Ttulo2"/>
        <w:jc w:val="both"/>
        <w:rPr>
          <w:rFonts w:asciiTheme="majorHAnsi" w:hAnsiTheme="majorHAnsi" w:cstheme="majorHAnsi"/>
          <w:sz w:val="20"/>
          <w:szCs w:val="20"/>
        </w:rPr>
      </w:pPr>
      <w:bookmarkStart w:id="41" w:name="_Toc228400969"/>
      <w:r w:rsidRPr="00377CFD">
        <w:rPr>
          <w:rFonts w:asciiTheme="majorHAnsi" w:hAnsiTheme="majorHAnsi" w:cstheme="majorHAnsi"/>
          <w:sz w:val="20"/>
          <w:szCs w:val="20"/>
        </w:rPr>
        <w:t>7.2 Recomendaciones de Política</w:t>
      </w:r>
      <w:bookmarkEnd w:id="41"/>
    </w:p>
    <w:p w14:paraId="2BC582B9" w14:textId="77777777" w:rsidR="008D3AF5" w:rsidRPr="00377CFD" w:rsidRDefault="00000000" w:rsidP="00B94CC2">
      <w:pPr>
        <w:numPr>
          <w:ilvl w:val="0"/>
          <w:numId w:val="4"/>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Iniciar la tramitación parlamentaria con urgencia simple, aprovechando el consenso social que existe en torno a la mejora de las pensiones como una prioridad nacional.</w:t>
      </w:r>
    </w:p>
    <w:p w14:paraId="5334CEB2" w14:textId="77777777" w:rsidR="008D3AF5" w:rsidRPr="00377CFD" w:rsidRDefault="00000000" w:rsidP="00B94CC2">
      <w:pPr>
        <w:numPr>
          <w:ilvl w:val="0"/>
          <w:numId w:val="4"/>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Establecer una mesa técnica tripartita (MINTRAB, SONAMI/Consejo Minero, CUT/FESUMIN) antes del ingreso del proyecto, para afinar los umbrales de los factores objetivos y generar adhesión política al proceso.</w:t>
      </w:r>
    </w:p>
    <w:p w14:paraId="2BEA5430" w14:textId="77777777" w:rsidR="008D3AF5" w:rsidRPr="00377CFD" w:rsidRDefault="00000000" w:rsidP="00B94CC2">
      <w:pPr>
        <w:numPr>
          <w:ilvl w:val="0"/>
          <w:numId w:val="4"/>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Priorizar la inscripción RENAPMA de los trabajadores subcontratistas, que son el grupo más desprotegido y representan más del 55% del empleo sectorial.</w:t>
      </w:r>
    </w:p>
    <w:p w14:paraId="57AC80E4" w14:textId="77777777" w:rsidR="008D3AF5" w:rsidRPr="00377CFD" w:rsidRDefault="00000000" w:rsidP="00B94CC2">
      <w:pPr>
        <w:numPr>
          <w:ilvl w:val="0"/>
          <w:numId w:val="4"/>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Considerar extender el modelo a otros sectores con condiciones análogas (pesca de altura, construcción en altura, acería y fundición) en una segunda etapa, usando el RENAPMA minero como piloto.</w:t>
      </w:r>
    </w:p>
    <w:p w14:paraId="0FD9814C" w14:textId="77777777" w:rsidR="008D3AF5" w:rsidRPr="00377CFD" w:rsidRDefault="00000000" w:rsidP="00B94CC2">
      <w:pPr>
        <w:numPr>
          <w:ilvl w:val="0"/>
          <w:numId w:val="4"/>
        </w:numPr>
        <w:pBdr>
          <w:top w:val="nil"/>
          <w:left w:val="nil"/>
          <w:bottom w:val="nil"/>
          <w:right w:val="nil"/>
          <w:between w:val="nil"/>
        </w:pBdr>
        <w:spacing w:after="80"/>
        <w:jc w:val="both"/>
        <w:rPr>
          <w:rFonts w:asciiTheme="majorHAnsi" w:hAnsiTheme="majorHAnsi" w:cstheme="majorHAnsi"/>
          <w:sz w:val="20"/>
          <w:szCs w:val="20"/>
        </w:rPr>
      </w:pPr>
      <w:r w:rsidRPr="00377CFD">
        <w:rPr>
          <w:rFonts w:asciiTheme="majorHAnsi" w:hAnsiTheme="majorHAnsi" w:cstheme="majorHAnsi"/>
          <w:color w:val="1A1A1A"/>
          <w:sz w:val="20"/>
          <w:szCs w:val="20"/>
        </w:rPr>
        <w:t>Financiar la operación del RENAPMA con cargo al presupuesto ordinario de la Superintendencia de Pensiones, cuya carga operativa disminuirá en el componente CEN.</w:t>
      </w:r>
    </w:p>
    <w:p w14:paraId="26420B9D" w14:textId="77777777" w:rsidR="008D3AF5" w:rsidRPr="00377CFD" w:rsidRDefault="00000000" w:rsidP="004726E2">
      <w:pPr>
        <w:spacing w:after="100"/>
        <w:jc w:val="both"/>
        <w:rPr>
          <w:rFonts w:asciiTheme="majorHAnsi" w:hAnsiTheme="majorHAnsi" w:cstheme="majorHAnsi"/>
          <w:sz w:val="20"/>
          <w:szCs w:val="20"/>
        </w:rPr>
      </w:pPr>
      <w:r w:rsidRPr="00377CFD">
        <w:rPr>
          <w:rFonts w:asciiTheme="majorHAnsi" w:hAnsiTheme="majorHAnsi" w:cstheme="majorHAnsi"/>
          <w:color w:val="1A1A1A"/>
          <w:sz w:val="20"/>
          <w:szCs w:val="20"/>
        </w:rPr>
        <w:t xml:space="preserve"> </w:t>
      </w:r>
    </w:p>
    <w:p w14:paraId="4EC4590E" w14:textId="77777777" w:rsidR="008D3AF5" w:rsidRPr="00377CFD" w:rsidRDefault="00000000" w:rsidP="004726E2">
      <w:pPr>
        <w:pStyle w:val="Ttulo2"/>
        <w:jc w:val="both"/>
        <w:rPr>
          <w:rFonts w:asciiTheme="majorHAnsi" w:hAnsiTheme="majorHAnsi" w:cstheme="majorHAnsi"/>
          <w:sz w:val="20"/>
          <w:szCs w:val="20"/>
        </w:rPr>
      </w:pPr>
      <w:bookmarkStart w:id="42" w:name="_Toc228400970"/>
      <w:r w:rsidRPr="00377CFD">
        <w:rPr>
          <w:rFonts w:asciiTheme="majorHAnsi" w:hAnsiTheme="majorHAnsi" w:cstheme="majorHAnsi"/>
          <w:sz w:val="20"/>
          <w:szCs w:val="20"/>
        </w:rPr>
        <w:t>7.3 Indicadores de Éxito a 5 Años</w:t>
      </w:r>
      <w:bookmarkEnd w:id="42"/>
    </w:p>
    <w:tbl>
      <w:tblPr>
        <w:tblStyle w:val="af6"/>
        <w:tblW w:w="80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701"/>
        <w:gridCol w:w="1701"/>
        <w:gridCol w:w="1417"/>
      </w:tblGrid>
      <w:tr w:rsidR="008D3AF5" w:rsidRPr="00377CFD" w14:paraId="4D776EE5" w14:textId="77777777" w:rsidTr="00066FC0">
        <w:tc>
          <w:tcPr>
            <w:tcW w:w="3256" w:type="dxa"/>
            <w:shd w:val="clear" w:color="auto" w:fill="1B3A5C"/>
            <w:tcMar>
              <w:top w:w="80" w:type="dxa"/>
              <w:left w:w="120" w:type="dxa"/>
              <w:bottom w:w="80" w:type="dxa"/>
              <w:right w:w="120" w:type="dxa"/>
            </w:tcMar>
            <w:vAlign w:val="center"/>
          </w:tcPr>
          <w:p w14:paraId="5D9951D0" w14:textId="77777777" w:rsidR="008D3AF5" w:rsidRPr="00066FC0" w:rsidRDefault="00000000" w:rsidP="00066FC0">
            <w:pPr>
              <w:spacing w:line="276" w:lineRule="auto"/>
              <w:jc w:val="center"/>
              <w:rPr>
                <w:rFonts w:asciiTheme="majorHAnsi" w:hAnsiTheme="majorHAnsi" w:cstheme="majorHAnsi"/>
                <w:sz w:val="18"/>
                <w:szCs w:val="18"/>
              </w:rPr>
            </w:pPr>
            <w:r w:rsidRPr="00066FC0">
              <w:rPr>
                <w:rFonts w:asciiTheme="majorHAnsi" w:hAnsiTheme="majorHAnsi" w:cstheme="majorHAnsi"/>
                <w:b/>
                <w:bCs/>
                <w:color w:val="FFFFFF"/>
                <w:sz w:val="18"/>
                <w:szCs w:val="18"/>
              </w:rPr>
              <w:t>Indicador</w:t>
            </w:r>
          </w:p>
        </w:tc>
        <w:tc>
          <w:tcPr>
            <w:tcW w:w="1701" w:type="dxa"/>
            <w:shd w:val="clear" w:color="auto" w:fill="1B3A5C"/>
            <w:tcMar>
              <w:top w:w="80" w:type="dxa"/>
              <w:left w:w="120" w:type="dxa"/>
              <w:bottom w:w="80" w:type="dxa"/>
              <w:right w:w="120" w:type="dxa"/>
            </w:tcMar>
            <w:vAlign w:val="center"/>
          </w:tcPr>
          <w:p w14:paraId="5DE48FB2" w14:textId="77777777" w:rsidR="008D3AF5" w:rsidRPr="00066FC0" w:rsidRDefault="00000000" w:rsidP="00066FC0">
            <w:pPr>
              <w:spacing w:line="276" w:lineRule="auto"/>
              <w:jc w:val="center"/>
              <w:rPr>
                <w:rFonts w:asciiTheme="majorHAnsi" w:hAnsiTheme="majorHAnsi" w:cstheme="majorHAnsi"/>
                <w:sz w:val="18"/>
                <w:szCs w:val="18"/>
              </w:rPr>
            </w:pPr>
            <w:r w:rsidRPr="00066FC0">
              <w:rPr>
                <w:rFonts w:asciiTheme="majorHAnsi" w:hAnsiTheme="majorHAnsi" w:cstheme="majorHAnsi"/>
                <w:b/>
                <w:bCs/>
                <w:color w:val="FFFFFF"/>
                <w:sz w:val="18"/>
                <w:szCs w:val="18"/>
              </w:rPr>
              <w:t>Línea base (2026)</w:t>
            </w:r>
          </w:p>
        </w:tc>
        <w:tc>
          <w:tcPr>
            <w:tcW w:w="1701" w:type="dxa"/>
            <w:shd w:val="clear" w:color="auto" w:fill="1B3A5C"/>
            <w:tcMar>
              <w:top w:w="80" w:type="dxa"/>
              <w:left w:w="120" w:type="dxa"/>
              <w:bottom w:w="80" w:type="dxa"/>
              <w:right w:w="120" w:type="dxa"/>
            </w:tcMar>
            <w:vAlign w:val="center"/>
          </w:tcPr>
          <w:p w14:paraId="24699887" w14:textId="77777777" w:rsidR="008D3AF5" w:rsidRPr="00066FC0" w:rsidRDefault="00000000" w:rsidP="00066FC0">
            <w:pPr>
              <w:spacing w:line="276" w:lineRule="auto"/>
              <w:jc w:val="center"/>
              <w:rPr>
                <w:rFonts w:asciiTheme="majorHAnsi" w:hAnsiTheme="majorHAnsi" w:cstheme="majorHAnsi"/>
                <w:sz w:val="18"/>
                <w:szCs w:val="18"/>
              </w:rPr>
            </w:pPr>
            <w:r w:rsidRPr="00066FC0">
              <w:rPr>
                <w:rFonts w:asciiTheme="majorHAnsi" w:hAnsiTheme="majorHAnsi" w:cstheme="majorHAnsi"/>
                <w:b/>
                <w:bCs/>
                <w:color w:val="FFFFFF"/>
                <w:sz w:val="18"/>
                <w:szCs w:val="18"/>
              </w:rPr>
              <w:t>Meta Año 3</w:t>
            </w:r>
          </w:p>
        </w:tc>
        <w:tc>
          <w:tcPr>
            <w:tcW w:w="1417" w:type="dxa"/>
            <w:shd w:val="clear" w:color="auto" w:fill="1B3A5C"/>
            <w:tcMar>
              <w:top w:w="80" w:type="dxa"/>
              <w:left w:w="120" w:type="dxa"/>
              <w:bottom w:w="80" w:type="dxa"/>
              <w:right w:w="120" w:type="dxa"/>
            </w:tcMar>
            <w:vAlign w:val="center"/>
          </w:tcPr>
          <w:p w14:paraId="020D2600" w14:textId="77777777" w:rsidR="008D3AF5" w:rsidRPr="00066FC0" w:rsidRDefault="00000000" w:rsidP="00066FC0">
            <w:pPr>
              <w:spacing w:line="276" w:lineRule="auto"/>
              <w:jc w:val="center"/>
              <w:rPr>
                <w:rFonts w:asciiTheme="majorHAnsi" w:hAnsiTheme="majorHAnsi" w:cstheme="majorHAnsi"/>
                <w:sz w:val="18"/>
                <w:szCs w:val="18"/>
              </w:rPr>
            </w:pPr>
            <w:r w:rsidRPr="00066FC0">
              <w:rPr>
                <w:rFonts w:asciiTheme="majorHAnsi" w:hAnsiTheme="majorHAnsi" w:cstheme="majorHAnsi"/>
                <w:b/>
                <w:bCs/>
                <w:color w:val="FFFFFF"/>
                <w:sz w:val="18"/>
                <w:szCs w:val="18"/>
              </w:rPr>
              <w:t>Meta Año 5</w:t>
            </w:r>
          </w:p>
        </w:tc>
      </w:tr>
      <w:tr w:rsidR="008D3AF5" w:rsidRPr="00377CFD" w14:paraId="2473C88E" w14:textId="77777777" w:rsidTr="00066FC0">
        <w:tc>
          <w:tcPr>
            <w:tcW w:w="3256" w:type="dxa"/>
            <w:shd w:val="clear" w:color="auto" w:fill="FFFFFF"/>
            <w:tcMar>
              <w:top w:w="80" w:type="dxa"/>
              <w:left w:w="120" w:type="dxa"/>
              <w:bottom w:w="80" w:type="dxa"/>
              <w:right w:w="120" w:type="dxa"/>
            </w:tcMar>
            <w:vAlign w:val="center"/>
          </w:tcPr>
          <w:p w14:paraId="0F55FD78" w14:textId="77777777" w:rsidR="00066FC0" w:rsidRDefault="00000000" w:rsidP="004726E2">
            <w:pPr>
              <w:spacing w:line="276" w:lineRule="auto"/>
              <w:jc w:val="both"/>
              <w:rPr>
                <w:rFonts w:ascii="Calibri" w:hAnsi="Calibri" w:cs="Calibri"/>
                <w:color w:val="1A1A1A"/>
                <w:sz w:val="18"/>
                <w:szCs w:val="18"/>
              </w:rPr>
            </w:pPr>
            <w:r w:rsidRPr="00066FC0">
              <w:rPr>
                <w:rFonts w:ascii="Calibri" w:hAnsi="Calibri" w:cs="Calibri"/>
                <w:color w:val="1A1A1A"/>
                <w:sz w:val="18"/>
                <w:szCs w:val="18"/>
              </w:rPr>
              <w:t>% trabajadores mineros con calificación</w:t>
            </w:r>
          </w:p>
          <w:p w14:paraId="79E61710" w14:textId="70E993DF"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trabajo pesado vigente</w:t>
            </w:r>
          </w:p>
        </w:tc>
        <w:tc>
          <w:tcPr>
            <w:tcW w:w="1701" w:type="dxa"/>
            <w:shd w:val="clear" w:color="auto" w:fill="FFFFFF"/>
            <w:tcMar>
              <w:top w:w="80" w:type="dxa"/>
              <w:left w:w="120" w:type="dxa"/>
              <w:bottom w:w="80" w:type="dxa"/>
              <w:right w:w="120" w:type="dxa"/>
            </w:tcMar>
            <w:vAlign w:val="center"/>
          </w:tcPr>
          <w:p w14:paraId="0B0FC9C9"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~15%</w:t>
            </w:r>
          </w:p>
        </w:tc>
        <w:tc>
          <w:tcPr>
            <w:tcW w:w="1701" w:type="dxa"/>
            <w:shd w:val="clear" w:color="auto" w:fill="FFFFFF"/>
            <w:tcMar>
              <w:top w:w="80" w:type="dxa"/>
              <w:left w:w="120" w:type="dxa"/>
              <w:bottom w:w="80" w:type="dxa"/>
              <w:right w:w="120" w:type="dxa"/>
            </w:tcMar>
            <w:vAlign w:val="center"/>
          </w:tcPr>
          <w:p w14:paraId="77BCD8FE"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&gt;55%</w:t>
            </w:r>
          </w:p>
        </w:tc>
        <w:tc>
          <w:tcPr>
            <w:tcW w:w="1417" w:type="dxa"/>
            <w:shd w:val="clear" w:color="auto" w:fill="FFFFFF"/>
            <w:tcMar>
              <w:top w:w="80" w:type="dxa"/>
              <w:left w:w="120" w:type="dxa"/>
              <w:bottom w:w="80" w:type="dxa"/>
              <w:right w:w="120" w:type="dxa"/>
            </w:tcMar>
            <w:vAlign w:val="center"/>
          </w:tcPr>
          <w:p w14:paraId="22DD7239"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&gt;70%</w:t>
            </w:r>
          </w:p>
        </w:tc>
      </w:tr>
      <w:tr w:rsidR="008D3AF5" w:rsidRPr="00377CFD" w14:paraId="77741418" w14:textId="77777777" w:rsidTr="00066FC0">
        <w:tc>
          <w:tcPr>
            <w:tcW w:w="3256" w:type="dxa"/>
            <w:shd w:val="clear" w:color="auto" w:fill="EAF2F8"/>
            <w:tcMar>
              <w:top w:w="80" w:type="dxa"/>
              <w:left w:w="120" w:type="dxa"/>
              <w:bottom w:w="80" w:type="dxa"/>
              <w:right w:w="120" w:type="dxa"/>
            </w:tcMar>
            <w:vAlign w:val="center"/>
          </w:tcPr>
          <w:p w14:paraId="22891348" w14:textId="77777777" w:rsidR="00066FC0" w:rsidRDefault="00000000" w:rsidP="004726E2">
            <w:pPr>
              <w:spacing w:line="276" w:lineRule="auto"/>
              <w:jc w:val="both"/>
              <w:rPr>
                <w:rFonts w:ascii="Calibri" w:hAnsi="Calibri" w:cs="Calibri"/>
                <w:color w:val="1A1A1A"/>
                <w:sz w:val="18"/>
                <w:szCs w:val="18"/>
              </w:rPr>
            </w:pPr>
            <w:r w:rsidRPr="00066FC0">
              <w:rPr>
                <w:rFonts w:ascii="Calibri" w:hAnsi="Calibri" w:cs="Calibri"/>
                <w:color w:val="1A1A1A"/>
                <w:sz w:val="18"/>
                <w:szCs w:val="18"/>
              </w:rPr>
              <w:t>Tiempo promedio calificación</w:t>
            </w:r>
          </w:p>
          <w:p w14:paraId="08E1ACE2" w14:textId="7FB57856"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puestos mineros</w:t>
            </w:r>
          </w:p>
        </w:tc>
        <w:tc>
          <w:tcPr>
            <w:tcW w:w="1701" w:type="dxa"/>
            <w:shd w:val="clear" w:color="auto" w:fill="EAF2F8"/>
            <w:tcMar>
              <w:top w:w="80" w:type="dxa"/>
              <w:left w:w="120" w:type="dxa"/>
              <w:bottom w:w="80" w:type="dxa"/>
              <w:right w:w="120" w:type="dxa"/>
            </w:tcMar>
            <w:vAlign w:val="center"/>
          </w:tcPr>
          <w:p w14:paraId="54B1FD8B"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22 meses</w:t>
            </w:r>
          </w:p>
        </w:tc>
        <w:tc>
          <w:tcPr>
            <w:tcW w:w="1701" w:type="dxa"/>
            <w:shd w:val="clear" w:color="auto" w:fill="EAF2F8"/>
            <w:tcMar>
              <w:top w:w="80" w:type="dxa"/>
              <w:left w:w="120" w:type="dxa"/>
              <w:bottom w:w="80" w:type="dxa"/>
              <w:right w:w="120" w:type="dxa"/>
            </w:tcMar>
            <w:vAlign w:val="center"/>
          </w:tcPr>
          <w:p w14:paraId="4B58941D"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&lt; 3 meses</w:t>
            </w:r>
          </w:p>
        </w:tc>
        <w:tc>
          <w:tcPr>
            <w:tcW w:w="1417" w:type="dxa"/>
            <w:shd w:val="clear" w:color="auto" w:fill="EAF2F8"/>
            <w:tcMar>
              <w:top w:w="80" w:type="dxa"/>
              <w:left w:w="120" w:type="dxa"/>
              <w:bottom w:w="80" w:type="dxa"/>
              <w:right w:w="120" w:type="dxa"/>
            </w:tcMar>
            <w:vAlign w:val="center"/>
          </w:tcPr>
          <w:p w14:paraId="2036F57A"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&lt; 45 días</w:t>
            </w:r>
          </w:p>
        </w:tc>
      </w:tr>
      <w:tr w:rsidR="008D3AF5" w:rsidRPr="00377CFD" w14:paraId="379265F8" w14:textId="77777777" w:rsidTr="00066FC0">
        <w:tc>
          <w:tcPr>
            <w:tcW w:w="3256" w:type="dxa"/>
            <w:shd w:val="clear" w:color="auto" w:fill="FFFFFF"/>
            <w:tcMar>
              <w:top w:w="80" w:type="dxa"/>
              <w:left w:w="120" w:type="dxa"/>
              <w:bottom w:w="80" w:type="dxa"/>
              <w:right w:w="120" w:type="dxa"/>
            </w:tcMar>
            <w:vAlign w:val="center"/>
          </w:tcPr>
          <w:p w14:paraId="0FC0F364" w14:textId="77777777" w:rsidR="00066FC0" w:rsidRDefault="00000000" w:rsidP="004726E2">
            <w:pPr>
              <w:spacing w:line="276" w:lineRule="auto"/>
              <w:jc w:val="both"/>
              <w:rPr>
                <w:rFonts w:ascii="Calibri" w:hAnsi="Calibri" w:cs="Calibri"/>
                <w:color w:val="1A1A1A"/>
                <w:sz w:val="18"/>
                <w:szCs w:val="18"/>
              </w:rPr>
            </w:pPr>
            <w:r w:rsidRPr="00066FC0">
              <w:rPr>
                <w:rFonts w:ascii="Calibri" w:hAnsi="Calibri" w:cs="Calibri"/>
                <w:color w:val="1A1A1A"/>
                <w:sz w:val="18"/>
                <w:szCs w:val="18"/>
              </w:rPr>
              <w:t>N° litigios anuales sector minero</w:t>
            </w:r>
          </w:p>
          <w:p w14:paraId="3B33E790" w14:textId="78460809"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ante Comisión Apelaciones</w:t>
            </w:r>
          </w:p>
        </w:tc>
        <w:tc>
          <w:tcPr>
            <w:tcW w:w="1701" w:type="dxa"/>
            <w:shd w:val="clear" w:color="auto" w:fill="FFFFFF"/>
            <w:tcMar>
              <w:top w:w="80" w:type="dxa"/>
              <w:left w:w="120" w:type="dxa"/>
              <w:bottom w:w="80" w:type="dxa"/>
              <w:right w:w="120" w:type="dxa"/>
            </w:tcMar>
            <w:vAlign w:val="center"/>
          </w:tcPr>
          <w:p w14:paraId="5147491E"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130</w:t>
            </w:r>
          </w:p>
        </w:tc>
        <w:tc>
          <w:tcPr>
            <w:tcW w:w="1701" w:type="dxa"/>
            <w:shd w:val="clear" w:color="auto" w:fill="FFFFFF"/>
            <w:tcMar>
              <w:top w:w="80" w:type="dxa"/>
              <w:left w:w="120" w:type="dxa"/>
              <w:bottom w:w="80" w:type="dxa"/>
              <w:right w:w="120" w:type="dxa"/>
            </w:tcMar>
            <w:vAlign w:val="center"/>
          </w:tcPr>
          <w:p w14:paraId="36CCDA84"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&lt; 30</w:t>
            </w:r>
          </w:p>
        </w:tc>
        <w:tc>
          <w:tcPr>
            <w:tcW w:w="1417" w:type="dxa"/>
            <w:shd w:val="clear" w:color="auto" w:fill="FFFFFF"/>
            <w:tcMar>
              <w:top w:w="80" w:type="dxa"/>
              <w:left w:w="120" w:type="dxa"/>
              <w:bottom w:w="80" w:type="dxa"/>
              <w:right w:w="120" w:type="dxa"/>
            </w:tcMar>
            <w:vAlign w:val="center"/>
          </w:tcPr>
          <w:p w14:paraId="6BE7D2E4"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&lt; 15</w:t>
            </w:r>
          </w:p>
        </w:tc>
      </w:tr>
      <w:tr w:rsidR="008D3AF5" w:rsidRPr="00377CFD" w14:paraId="264E33E7" w14:textId="77777777" w:rsidTr="00066FC0">
        <w:tc>
          <w:tcPr>
            <w:tcW w:w="3256" w:type="dxa"/>
            <w:shd w:val="clear" w:color="auto" w:fill="EAF2F8"/>
            <w:tcMar>
              <w:top w:w="80" w:type="dxa"/>
              <w:left w:w="120" w:type="dxa"/>
              <w:bottom w:w="80" w:type="dxa"/>
              <w:right w:w="120" w:type="dxa"/>
            </w:tcMar>
            <w:vAlign w:val="center"/>
          </w:tcPr>
          <w:p w14:paraId="28EE8D78" w14:textId="77777777" w:rsidR="00066FC0" w:rsidRDefault="00000000" w:rsidP="004726E2">
            <w:pPr>
              <w:spacing w:line="276" w:lineRule="auto"/>
              <w:jc w:val="both"/>
              <w:rPr>
                <w:rFonts w:ascii="Calibri" w:hAnsi="Calibri" w:cs="Calibri"/>
                <w:color w:val="1A1A1A"/>
                <w:sz w:val="18"/>
                <w:szCs w:val="18"/>
              </w:rPr>
            </w:pPr>
            <w:r w:rsidRPr="00066FC0">
              <w:rPr>
                <w:rFonts w:ascii="Calibri" w:hAnsi="Calibri" w:cs="Calibri"/>
                <w:color w:val="1A1A1A"/>
                <w:sz w:val="18"/>
                <w:szCs w:val="18"/>
              </w:rPr>
              <w:t>Cobertura trabajadores</w:t>
            </w:r>
          </w:p>
          <w:p w14:paraId="065EBFBA" w14:textId="62B60C42"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subcontratistas mineros</w:t>
            </w:r>
          </w:p>
        </w:tc>
        <w:tc>
          <w:tcPr>
            <w:tcW w:w="1701" w:type="dxa"/>
            <w:shd w:val="clear" w:color="auto" w:fill="EAF2F8"/>
            <w:tcMar>
              <w:top w:w="80" w:type="dxa"/>
              <w:left w:w="120" w:type="dxa"/>
              <w:bottom w:w="80" w:type="dxa"/>
              <w:right w:w="120" w:type="dxa"/>
            </w:tcMar>
            <w:vAlign w:val="center"/>
          </w:tcPr>
          <w:p w14:paraId="7BEDF3DF"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&lt;5% estimado</w:t>
            </w:r>
          </w:p>
        </w:tc>
        <w:tc>
          <w:tcPr>
            <w:tcW w:w="1701" w:type="dxa"/>
            <w:shd w:val="clear" w:color="auto" w:fill="EAF2F8"/>
            <w:tcMar>
              <w:top w:w="80" w:type="dxa"/>
              <w:left w:w="120" w:type="dxa"/>
              <w:bottom w:w="80" w:type="dxa"/>
              <w:right w:w="120" w:type="dxa"/>
            </w:tcMar>
            <w:vAlign w:val="center"/>
          </w:tcPr>
          <w:p w14:paraId="72B19FC7"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&gt;40%</w:t>
            </w:r>
          </w:p>
        </w:tc>
        <w:tc>
          <w:tcPr>
            <w:tcW w:w="1417" w:type="dxa"/>
            <w:shd w:val="clear" w:color="auto" w:fill="EAF2F8"/>
            <w:tcMar>
              <w:top w:w="80" w:type="dxa"/>
              <w:left w:w="120" w:type="dxa"/>
              <w:bottom w:w="80" w:type="dxa"/>
              <w:right w:w="120" w:type="dxa"/>
            </w:tcMar>
            <w:vAlign w:val="center"/>
          </w:tcPr>
          <w:p w14:paraId="234B998B"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&gt;60%</w:t>
            </w:r>
          </w:p>
        </w:tc>
      </w:tr>
      <w:tr w:rsidR="008D3AF5" w:rsidRPr="00377CFD" w14:paraId="256D9CE6" w14:textId="77777777" w:rsidTr="00066FC0">
        <w:tc>
          <w:tcPr>
            <w:tcW w:w="3256" w:type="dxa"/>
            <w:shd w:val="clear" w:color="auto" w:fill="FFFFFF"/>
            <w:tcMar>
              <w:top w:w="80" w:type="dxa"/>
              <w:left w:w="120" w:type="dxa"/>
              <w:bottom w:w="80" w:type="dxa"/>
              <w:right w:w="120" w:type="dxa"/>
            </w:tcMar>
            <w:vAlign w:val="center"/>
          </w:tcPr>
          <w:p w14:paraId="3144D633" w14:textId="77777777" w:rsidR="00066FC0" w:rsidRDefault="00000000" w:rsidP="004726E2">
            <w:pPr>
              <w:spacing w:line="276" w:lineRule="auto"/>
              <w:jc w:val="both"/>
              <w:rPr>
                <w:rFonts w:ascii="Calibri" w:hAnsi="Calibri" w:cs="Calibri"/>
                <w:color w:val="1A1A1A"/>
                <w:sz w:val="18"/>
                <w:szCs w:val="18"/>
              </w:rPr>
            </w:pPr>
            <w:r w:rsidRPr="00066FC0">
              <w:rPr>
                <w:rFonts w:ascii="Calibri" w:hAnsi="Calibri" w:cs="Calibri"/>
                <w:color w:val="1A1A1A"/>
                <w:sz w:val="18"/>
                <w:szCs w:val="18"/>
              </w:rPr>
              <w:t>% libretas previsionales AFP/IPS</w:t>
            </w:r>
          </w:p>
          <w:p w14:paraId="2129E68F" w14:textId="38DA25E3"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actualizadas con periodos RENAPMA</w:t>
            </w:r>
          </w:p>
        </w:tc>
        <w:tc>
          <w:tcPr>
            <w:tcW w:w="1701" w:type="dxa"/>
            <w:shd w:val="clear" w:color="auto" w:fill="FFFFFF"/>
            <w:tcMar>
              <w:top w:w="80" w:type="dxa"/>
              <w:left w:w="120" w:type="dxa"/>
              <w:bottom w:w="80" w:type="dxa"/>
              <w:right w:w="120" w:type="dxa"/>
            </w:tcMar>
            <w:vAlign w:val="center"/>
          </w:tcPr>
          <w:p w14:paraId="5F7EB3EB"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N/A</w:t>
            </w:r>
          </w:p>
        </w:tc>
        <w:tc>
          <w:tcPr>
            <w:tcW w:w="1701" w:type="dxa"/>
            <w:shd w:val="clear" w:color="auto" w:fill="FFFFFF"/>
            <w:tcMar>
              <w:top w:w="80" w:type="dxa"/>
              <w:left w:w="120" w:type="dxa"/>
              <w:bottom w:w="80" w:type="dxa"/>
              <w:right w:w="120" w:type="dxa"/>
            </w:tcMar>
            <w:vAlign w:val="center"/>
          </w:tcPr>
          <w:p w14:paraId="1AC93283"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&gt;90%</w:t>
            </w:r>
          </w:p>
        </w:tc>
        <w:tc>
          <w:tcPr>
            <w:tcW w:w="1417" w:type="dxa"/>
            <w:shd w:val="clear" w:color="auto" w:fill="FFFFFF"/>
            <w:tcMar>
              <w:top w:w="80" w:type="dxa"/>
              <w:left w:w="120" w:type="dxa"/>
              <w:bottom w:w="80" w:type="dxa"/>
              <w:right w:w="120" w:type="dxa"/>
            </w:tcMar>
            <w:vAlign w:val="center"/>
          </w:tcPr>
          <w:p w14:paraId="33A393E6"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100%</w:t>
            </w:r>
          </w:p>
        </w:tc>
      </w:tr>
      <w:tr w:rsidR="008D3AF5" w:rsidRPr="00377CFD" w14:paraId="22F2BFA1" w14:textId="77777777" w:rsidTr="00066FC0">
        <w:tc>
          <w:tcPr>
            <w:tcW w:w="3256" w:type="dxa"/>
            <w:shd w:val="clear" w:color="auto" w:fill="EAF2F8"/>
            <w:tcMar>
              <w:top w:w="80" w:type="dxa"/>
              <w:left w:w="120" w:type="dxa"/>
              <w:bottom w:w="80" w:type="dxa"/>
              <w:right w:w="120" w:type="dxa"/>
            </w:tcMar>
            <w:vAlign w:val="center"/>
          </w:tcPr>
          <w:p w14:paraId="3D5D417B" w14:textId="77777777" w:rsidR="00066FC0" w:rsidRDefault="00000000" w:rsidP="004726E2">
            <w:pPr>
              <w:spacing w:line="276" w:lineRule="auto"/>
              <w:jc w:val="both"/>
              <w:rPr>
                <w:rFonts w:ascii="Calibri" w:hAnsi="Calibri" w:cs="Calibri"/>
                <w:color w:val="1A1A1A"/>
                <w:sz w:val="18"/>
                <w:szCs w:val="18"/>
              </w:rPr>
            </w:pPr>
            <w:r w:rsidRPr="00066FC0">
              <w:rPr>
                <w:rFonts w:ascii="Calibri" w:hAnsi="Calibri" w:cs="Calibri"/>
                <w:color w:val="1A1A1A"/>
                <w:sz w:val="18"/>
                <w:szCs w:val="18"/>
              </w:rPr>
              <w:t>Satisfacción percibida</w:t>
            </w:r>
          </w:p>
          <w:p w14:paraId="7928DBD3" w14:textId="3DA5DC9B"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(encuesta trabajadores/sindicatos)</w:t>
            </w:r>
          </w:p>
        </w:tc>
        <w:tc>
          <w:tcPr>
            <w:tcW w:w="1701" w:type="dxa"/>
            <w:shd w:val="clear" w:color="auto" w:fill="EAF2F8"/>
            <w:tcMar>
              <w:top w:w="80" w:type="dxa"/>
              <w:left w:w="120" w:type="dxa"/>
              <w:bottom w:w="80" w:type="dxa"/>
              <w:right w:w="120" w:type="dxa"/>
            </w:tcMar>
            <w:vAlign w:val="center"/>
          </w:tcPr>
          <w:p w14:paraId="2F86174D"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N/A</w:t>
            </w:r>
          </w:p>
        </w:tc>
        <w:tc>
          <w:tcPr>
            <w:tcW w:w="1701" w:type="dxa"/>
            <w:shd w:val="clear" w:color="auto" w:fill="EAF2F8"/>
            <w:tcMar>
              <w:top w:w="80" w:type="dxa"/>
              <w:left w:w="120" w:type="dxa"/>
              <w:bottom w:w="80" w:type="dxa"/>
              <w:right w:w="120" w:type="dxa"/>
            </w:tcMar>
            <w:vAlign w:val="center"/>
          </w:tcPr>
          <w:p w14:paraId="4638C34F"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&gt;65%</w:t>
            </w:r>
          </w:p>
        </w:tc>
        <w:tc>
          <w:tcPr>
            <w:tcW w:w="1417" w:type="dxa"/>
            <w:shd w:val="clear" w:color="auto" w:fill="EAF2F8"/>
            <w:tcMar>
              <w:top w:w="80" w:type="dxa"/>
              <w:left w:w="120" w:type="dxa"/>
              <w:bottom w:w="80" w:type="dxa"/>
              <w:right w:w="120" w:type="dxa"/>
            </w:tcMar>
            <w:vAlign w:val="center"/>
          </w:tcPr>
          <w:p w14:paraId="0AA97B7A" w14:textId="77777777" w:rsidR="008D3AF5" w:rsidRPr="00066FC0" w:rsidRDefault="00000000" w:rsidP="004726E2">
            <w:pPr>
              <w:spacing w:line="276" w:lineRule="auto"/>
              <w:jc w:val="both"/>
              <w:rPr>
                <w:rFonts w:ascii="Calibri" w:hAnsi="Calibri" w:cs="Calibri"/>
                <w:sz w:val="18"/>
                <w:szCs w:val="18"/>
              </w:rPr>
            </w:pPr>
            <w:r w:rsidRPr="00066FC0">
              <w:rPr>
                <w:rFonts w:ascii="Calibri" w:hAnsi="Calibri" w:cs="Calibri"/>
                <w:color w:val="1A1A1A"/>
                <w:sz w:val="18"/>
                <w:szCs w:val="18"/>
              </w:rPr>
              <w:t>&gt;80%</w:t>
            </w:r>
          </w:p>
        </w:tc>
      </w:tr>
    </w:tbl>
    <w:p w14:paraId="55AE41D4" w14:textId="47C6B7E6" w:rsidR="00066FC0" w:rsidRDefault="00000000" w:rsidP="004726E2">
      <w:pPr>
        <w:spacing w:after="100"/>
        <w:jc w:val="both"/>
        <w:rPr>
          <w:rFonts w:asciiTheme="majorHAnsi" w:hAnsiTheme="majorHAnsi" w:cstheme="majorHAnsi"/>
          <w:color w:val="1A1A1A"/>
          <w:sz w:val="20"/>
          <w:szCs w:val="20"/>
        </w:rPr>
      </w:pPr>
      <w:r w:rsidRPr="00377CFD">
        <w:rPr>
          <w:rFonts w:asciiTheme="majorHAnsi" w:hAnsiTheme="majorHAnsi" w:cstheme="majorHAnsi"/>
          <w:color w:val="1A1A1A"/>
          <w:sz w:val="20"/>
          <w:szCs w:val="20"/>
        </w:rPr>
        <w:t xml:space="preserve"> </w:t>
      </w:r>
    </w:p>
    <w:p w14:paraId="2D89BC96" w14:textId="77777777" w:rsidR="00066FC0" w:rsidRDefault="00066FC0">
      <w:pPr>
        <w:rPr>
          <w:rFonts w:asciiTheme="majorHAnsi" w:hAnsiTheme="majorHAnsi" w:cstheme="majorHAnsi"/>
          <w:color w:val="1A1A1A"/>
          <w:sz w:val="20"/>
          <w:szCs w:val="20"/>
        </w:rPr>
      </w:pPr>
      <w:r>
        <w:rPr>
          <w:rFonts w:asciiTheme="majorHAnsi" w:hAnsiTheme="majorHAnsi" w:cstheme="majorHAnsi"/>
          <w:color w:val="1A1A1A"/>
          <w:sz w:val="20"/>
          <w:szCs w:val="20"/>
        </w:rPr>
        <w:br w:type="page"/>
      </w:r>
    </w:p>
    <w:p w14:paraId="480D7823" w14:textId="77777777" w:rsidR="008D3AF5" w:rsidRPr="00377CFD" w:rsidRDefault="008D3AF5" w:rsidP="004726E2">
      <w:pPr>
        <w:spacing w:after="100"/>
        <w:jc w:val="both"/>
        <w:rPr>
          <w:rFonts w:asciiTheme="majorHAnsi" w:hAnsiTheme="majorHAnsi" w:cstheme="majorHAnsi"/>
          <w:sz w:val="20"/>
          <w:szCs w:val="20"/>
        </w:rPr>
      </w:pPr>
    </w:p>
    <w:tbl>
      <w:tblPr>
        <w:tblStyle w:val="af7"/>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8D3AF5" w:rsidRPr="00377CFD" w14:paraId="055D09F5" w14:textId="77777777">
        <w:tc>
          <w:tcPr>
            <w:tcW w:w="9360" w:type="dxa"/>
            <w:tcBorders>
              <w:top w:val="single" w:sz="4" w:space="0" w:color="C8922A"/>
              <w:left w:val="single" w:sz="4" w:space="0" w:color="C8922A"/>
              <w:bottom w:val="single" w:sz="4" w:space="0" w:color="C8922A"/>
              <w:right w:val="single" w:sz="4" w:space="0" w:color="C8922A"/>
            </w:tcBorders>
            <w:shd w:val="clear" w:color="auto" w:fill="EAF2F8"/>
            <w:tcMar>
              <w:top w:w="120" w:type="dxa"/>
              <w:left w:w="180" w:type="dxa"/>
              <w:bottom w:w="120" w:type="dxa"/>
              <w:right w:w="180" w:type="dxa"/>
            </w:tcMar>
          </w:tcPr>
          <w:p w14:paraId="192040A7" w14:textId="77777777" w:rsidR="008D3AF5" w:rsidRPr="00377CFD" w:rsidRDefault="00000000" w:rsidP="004726E2">
            <w:pPr>
              <w:spacing w:line="276" w:lineRule="auto"/>
              <w:jc w:val="both"/>
              <w:rPr>
                <w:rFonts w:asciiTheme="majorHAnsi" w:hAnsiTheme="majorHAnsi" w:cstheme="majorHAnsi"/>
                <w:sz w:val="20"/>
                <w:szCs w:val="20"/>
              </w:rPr>
            </w:pPr>
            <w:r w:rsidRPr="00377CFD">
              <w:rPr>
                <w:rFonts w:asciiTheme="majorHAnsi" w:hAnsiTheme="majorHAnsi" w:cstheme="majorHAnsi"/>
                <w:b/>
                <w:bCs/>
                <w:color w:val="1B3A5C"/>
                <w:sz w:val="20"/>
                <w:szCs w:val="20"/>
              </w:rPr>
              <w:t xml:space="preserve">Nota de fidelidad normativa: </w:t>
            </w:r>
            <w:r w:rsidRPr="00377CFD">
              <w:rPr>
                <w:rFonts w:asciiTheme="majorHAnsi" w:hAnsiTheme="majorHAnsi" w:cstheme="majorHAnsi"/>
                <w:color w:val="1A1A1A"/>
                <w:sz w:val="20"/>
                <w:szCs w:val="20"/>
              </w:rPr>
              <w:t>Esta propuesta ha sido elaborada sobre la base del texto íntegro de la Ley N° 19.404 (última versión D.O. 01.07.2017, mod. Ley 20.984) y del D.S. N° 71/1996 (última versión D.O. 09.03.2018, mod. D. 49/2018). Todas las referencias articuladas remiten a las disposiciones específicas de ambos cuerpos normativos. La propuesta es compatible con el marco del D.L. N° 3.500 de 1980, el Código del Trabajo y la Ley N° 16.744. No requiere modificar el D.L. N° 3.500 en forma adicional, ya que el Art. 17 bis existente contempla el rango de cotización y la facultad de rebaja; las modificaciones propuestas a la Ley N° 19.404 activan esas facultades de forma automática para el sector minero.</w:t>
            </w:r>
          </w:p>
        </w:tc>
      </w:tr>
    </w:tbl>
    <w:p w14:paraId="5D53B3D3" w14:textId="18148BA7" w:rsidR="008D3AF5" w:rsidRPr="00377CFD" w:rsidRDefault="008D3AF5" w:rsidP="004726E2">
      <w:pPr>
        <w:jc w:val="both"/>
        <w:rPr>
          <w:rFonts w:asciiTheme="majorHAnsi" w:hAnsiTheme="majorHAnsi" w:cstheme="majorHAnsi"/>
          <w:sz w:val="20"/>
          <w:szCs w:val="20"/>
        </w:rPr>
      </w:pPr>
    </w:p>
    <w:sectPr w:rsidR="008D3AF5" w:rsidRPr="00377CFD" w:rsidSect="00A16167">
      <w:headerReference w:type="default" r:id="rId18"/>
      <w:footerReference w:type="default" r:id="rId19"/>
      <w:pgSz w:w="12240" w:h="15840"/>
      <w:pgMar w:top="709" w:right="1080" w:bottom="108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EE444" w14:textId="77777777" w:rsidR="002F65EA" w:rsidRDefault="002F65EA">
      <w:r>
        <w:separator/>
      </w:r>
    </w:p>
  </w:endnote>
  <w:endnote w:type="continuationSeparator" w:id="0">
    <w:p w14:paraId="0DF65FC6" w14:textId="77777777" w:rsidR="002F65EA" w:rsidRDefault="002F6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B32235F-1106-384E-980E-4364FC05BB9E}"/>
    <w:embedBold r:id="rId2" w:fontKey="{B0F8F156-29C4-7D41-8572-719B0DA51688}"/>
  </w:font>
  <w:font w:name="Arial">
    <w:panose1 w:val="020B0604020202020204"/>
    <w:charset w:val="00"/>
    <w:family w:val="swiss"/>
    <w:pitch w:val="variable"/>
    <w:sig w:usb0="E0002EFF" w:usb1="C000785B" w:usb2="00000009" w:usb3="00000000" w:csb0="000001FF" w:csb1="00000000"/>
    <w:embedRegular r:id="rId3" w:fontKey="{086AF6EE-9374-2B42-AAC3-52EA58A10426}"/>
    <w:embedBold r:id="rId4" w:fontKey="{3E9DD0AD-EAC9-0343-B99B-E141E99657A6}"/>
    <w:embedItalic r:id="rId5" w:fontKey="{EBC5EBD8-99E7-684F-9DB5-CBF97CFED906}"/>
  </w:font>
  <w:font w:name="Georgia">
    <w:panose1 w:val="02040502050405020303"/>
    <w:charset w:val="00"/>
    <w:family w:val="roman"/>
    <w:pitch w:val="variable"/>
    <w:sig w:usb0="00000287" w:usb1="00000000" w:usb2="00000000" w:usb3="00000000" w:csb0="0000009F" w:csb1="00000000"/>
    <w:embedItalic r:id="rId6" w:fontKey="{3431389F-09F8-1C40-B935-518B47E7FA54}"/>
  </w:font>
  <w:font w:name="Calibri">
    <w:panose1 w:val="020F0502020204030204"/>
    <w:charset w:val="00"/>
    <w:family w:val="swiss"/>
    <w:pitch w:val="variable"/>
    <w:sig w:usb0="E4002EFF" w:usb1="C200247B" w:usb2="00000009" w:usb3="00000000" w:csb0="000001FF" w:csb1="00000000"/>
    <w:embedRegular r:id="rId7" w:fontKey="{01A352D5-DC3D-E84E-B8FD-F4D0AF7C1A89}"/>
    <w:embedBold r:id="rId8" w:fontKey="{BDCF9568-1E95-7C4F-B317-F0D4F74AE7FB}"/>
    <w:embedItalic r:id="rId9" w:fontKey="{56C8E080-EA6A-FD42-9D89-4523BB61B850}"/>
  </w:font>
  <w:font w:name="Cambria">
    <w:panose1 w:val="02040503050406030204"/>
    <w:charset w:val="00"/>
    <w:family w:val="roman"/>
    <w:pitch w:val="variable"/>
    <w:sig w:usb0="E00006FF" w:usb1="420024FF" w:usb2="02000000" w:usb3="00000000" w:csb0="0000019F" w:csb1="00000000"/>
    <w:embedRegular r:id="rId10" w:fontKey="{CFEA746B-CE4A-BE4E-B866-87F1D57847B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D9FD5" w14:textId="77777777" w:rsidR="008D3AF5" w:rsidRDefault="008D3AF5">
    <w:pPr>
      <w:widowControl w:val="0"/>
      <w:pBdr>
        <w:top w:val="nil"/>
        <w:left w:val="nil"/>
        <w:bottom w:val="nil"/>
        <w:right w:val="nil"/>
        <w:between w:val="nil"/>
      </w:pBdr>
      <w:spacing w:line="276" w:lineRule="auto"/>
    </w:pPr>
  </w:p>
  <w:tbl>
    <w:tblPr>
      <w:tblStyle w:val="af9"/>
      <w:tblW w:w="9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2700"/>
    </w:tblGrid>
    <w:tr w:rsidR="008D3AF5" w14:paraId="42C3C793" w14:textId="77777777">
      <w:tc>
        <w:tcPr>
          <w:tcW w:w="7200" w:type="dxa"/>
          <w:tcBorders>
            <w:top w:val="nil"/>
            <w:left w:val="nil"/>
            <w:bottom w:val="nil"/>
            <w:right w:val="nil"/>
          </w:tcBorders>
        </w:tcPr>
        <w:p w14:paraId="7E8966DF" w14:textId="7146A3D0" w:rsidR="008D3AF5" w:rsidRDefault="00000000">
          <w:r>
            <w:rPr>
              <w:i/>
              <w:iCs/>
              <w:color w:val="999999"/>
              <w:sz w:val="16"/>
              <w:szCs w:val="16"/>
            </w:rPr>
            <w:t xml:space="preserve">Uso Reservado — Documento Técnico de </w:t>
          </w:r>
          <w:r w:rsidR="00137246">
            <w:rPr>
              <w:i/>
              <w:iCs/>
              <w:color w:val="999999"/>
              <w:sz w:val="16"/>
              <w:szCs w:val="16"/>
            </w:rPr>
            <w:t>trabajo</w:t>
          </w:r>
        </w:p>
      </w:tc>
      <w:tc>
        <w:tcPr>
          <w:tcW w:w="2700" w:type="dxa"/>
          <w:tcBorders>
            <w:top w:val="nil"/>
            <w:left w:val="nil"/>
            <w:bottom w:val="nil"/>
            <w:right w:val="nil"/>
          </w:tcBorders>
        </w:tcPr>
        <w:p w14:paraId="783C7790" w14:textId="77777777" w:rsidR="008D3AF5" w:rsidRDefault="00000000">
          <w:pPr>
            <w:jc w:val="right"/>
          </w:pPr>
          <w:r>
            <w:rPr>
              <w:color w:val="666666"/>
              <w:sz w:val="18"/>
              <w:szCs w:val="18"/>
            </w:rPr>
            <w:t xml:space="preserve">Página </w:t>
          </w:r>
          <w:r>
            <w:rPr>
              <w:b/>
              <w:bCs/>
              <w:color w:val="1B3A5C"/>
              <w:sz w:val="18"/>
              <w:szCs w:val="18"/>
            </w:rPr>
            <w:fldChar w:fldCharType="begin"/>
          </w:r>
          <w:r>
            <w:rPr>
              <w:b/>
              <w:bCs/>
              <w:color w:val="1B3A5C"/>
              <w:sz w:val="18"/>
              <w:szCs w:val="18"/>
            </w:rPr>
            <w:instrText>PAGE</w:instrText>
          </w:r>
          <w:r>
            <w:rPr>
              <w:b/>
              <w:bCs/>
              <w:color w:val="1B3A5C"/>
              <w:sz w:val="18"/>
              <w:szCs w:val="18"/>
            </w:rPr>
            <w:fldChar w:fldCharType="separate"/>
          </w:r>
          <w:r w:rsidR="004726E2">
            <w:rPr>
              <w:b/>
              <w:bCs/>
              <w:noProof/>
              <w:color w:val="1B3A5C"/>
              <w:sz w:val="18"/>
              <w:szCs w:val="18"/>
            </w:rPr>
            <w:t>1</w:t>
          </w:r>
          <w:r>
            <w:rPr>
              <w:b/>
              <w:bCs/>
              <w:color w:val="1B3A5C"/>
              <w:sz w:val="18"/>
              <w:szCs w:val="18"/>
            </w:rPr>
            <w:fldChar w:fldCharType="end"/>
          </w:r>
        </w:p>
      </w:tc>
    </w:tr>
  </w:tbl>
  <w:p w14:paraId="6BCC1A68" w14:textId="77777777" w:rsidR="008D3AF5" w:rsidRDefault="008D3AF5">
    <w:pPr>
      <w:widowControl w:val="0"/>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01ED2" w14:textId="77777777" w:rsidR="002F65EA" w:rsidRDefault="002F65EA">
      <w:r>
        <w:separator/>
      </w:r>
    </w:p>
  </w:footnote>
  <w:footnote w:type="continuationSeparator" w:id="0">
    <w:p w14:paraId="4ED8A992" w14:textId="77777777" w:rsidR="002F65EA" w:rsidRDefault="002F6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2700"/>
    </w:tblGrid>
    <w:tr w:rsidR="008D3AF5" w14:paraId="60296BF5" w14:textId="77777777">
      <w:tc>
        <w:tcPr>
          <w:tcW w:w="7200" w:type="dxa"/>
          <w:tcBorders>
            <w:top w:val="nil"/>
            <w:left w:val="nil"/>
            <w:bottom w:val="nil"/>
            <w:right w:val="nil"/>
          </w:tcBorders>
        </w:tcPr>
        <w:p w14:paraId="1FBA5333" w14:textId="77777777" w:rsidR="008D3AF5" w:rsidRDefault="00000000">
          <w:r>
            <w:rPr>
              <w:i/>
              <w:iCs/>
              <w:color w:val="666666"/>
              <w:sz w:val="18"/>
              <w:szCs w:val="18"/>
            </w:rPr>
            <w:t>Reforma Legislativa — Calificación Automática Trabajo Pesado Minería</w:t>
          </w:r>
        </w:p>
      </w:tc>
      <w:tc>
        <w:tcPr>
          <w:tcW w:w="2700" w:type="dxa"/>
          <w:tcBorders>
            <w:top w:val="nil"/>
            <w:left w:val="nil"/>
            <w:bottom w:val="nil"/>
            <w:right w:val="nil"/>
          </w:tcBorders>
        </w:tcPr>
        <w:p w14:paraId="4A169A47" w14:textId="614F071A" w:rsidR="008D3AF5" w:rsidRDefault="00000000">
          <w:pPr>
            <w:jc w:val="right"/>
          </w:pPr>
          <w:r>
            <w:rPr>
              <w:color w:val="C8922A"/>
              <w:sz w:val="18"/>
              <w:szCs w:val="18"/>
            </w:rPr>
            <w:t xml:space="preserve">Federación Minera de Chile • </w:t>
          </w:r>
          <w:r w:rsidR="004726E2">
            <w:rPr>
              <w:color w:val="C8922A"/>
              <w:sz w:val="18"/>
              <w:szCs w:val="18"/>
            </w:rPr>
            <w:t xml:space="preserve">abril </w:t>
          </w:r>
          <w:r>
            <w:rPr>
              <w:color w:val="C8922A"/>
              <w:sz w:val="18"/>
              <w:szCs w:val="18"/>
            </w:rPr>
            <w:t>2026</w:t>
          </w:r>
        </w:p>
      </w:tc>
    </w:tr>
  </w:tbl>
  <w:p w14:paraId="301F91DD" w14:textId="77777777" w:rsidR="008D3AF5" w:rsidRDefault="008D3AF5">
    <w:pPr>
      <w:widowControl w:val="0"/>
      <w:pBdr>
        <w:top w:val="nil"/>
        <w:left w:val="nil"/>
        <w:bottom w:val="nil"/>
        <w:right w:val="nil"/>
        <w:between w:val="nil"/>
      </w:pBd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C0B1E"/>
    <w:multiLevelType w:val="multilevel"/>
    <w:tmpl w:val="C0528F34"/>
    <w:lvl w:ilvl="0">
      <w:start w:val="1"/>
      <w:numFmt w:val="decimal"/>
      <w:lvlText w:val="%1."/>
      <w:lvlJc w:val="left"/>
      <w:pPr>
        <w:ind w:left="540" w:hanging="260"/>
      </w:pPr>
    </w:lvl>
    <w:lvl w:ilvl="1">
      <w:start w:val="1"/>
      <w:numFmt w:val="lowerLetter"/>
      <w:lvlText w:val="%2."/>
      <w:lvlJc w:val="left"/>
      <w:pPr>
        <w:ind w:left="900" w:hanging="2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C8D3E39"/>
    <w:multiLevelType w:val="multilevel"/>
    <w:tmpl w:val="C0528F34"/>
    <w:lvl w:ilvl="0">
      <w:start w:val="1"/>
      <w:numFmt w:val="decimal"/>
      <w:lvlText w:val="%1."/>
      <w:lvlJc w:val="left"/>
      <w:pPr>
        <w:ind w:left="540" w:hanging="260"/>
      </w:pPr>
    </w:lvl>
    <w:lvl w:ilvl="1">
      <w:start w:val="1"/>
      <w:numFmt w:val="lowerLetter"/>
      <w:lvlText w:val="%2."/>
      <w:lvlJc w:val="left"/>
      <w:pPr>
        <w:ind w:left="900" w:hanging="2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27D66F7"/>
    <w:multiLevelType w:val="hybridMultilevel"/>
    <w:tmpl w:val="7B0CECDE"/>
    <w:lvl w:ilvl="0" w:tplc="5664968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056772"/>
    <w:multiLevelType w:val="multilevel"/>
    <w:tmpl w:val="C0528F34"/>
    <w:lvl w:ilvl="0">
      <w:start w:val="1"/>
      <w:numFmt w:val="decimal"/>
      <w:lvlText w:val="%1."/>
      <w:lvlJc w:val="left"/>
      <w:pPr>
        <w:ind w:left="540" w:hanging="260"/>
      </w:pPr>
    </w:lvl>
    <w:lvl w:ilvl="1">
      <w:start w:val="1"/>
      <w:numFmt w:val="lowerLetter"/>
      <w:lvlText w:val="%2."/>
      <w:lvlJc w:val="left"/>
      <w:pPr>
        <w:ind w:left="900" w:hanging="2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79697A24"/>
    <w:multiLevelType w:val="multilevel"/>
    <w:tmpl w:val="313ACA08"/>
    <w:lvl w:ilvl="0">
      <w:start w:val="1"/>
      <w:numFmt w:val="bullet"/>
      <w:lvlText w:val="•"/>
      <w:lvlJc w:val="left"/>
      <w:pPr>
        <w:ind w:left="540" w:hanging="260"/>
      </w:pPr>
    </w:lvl>
    <w:lvl w:ilvl="1">
      <w:start w:val="1"/>
      <w:numFmt w:val="bullet"/>
      <w:lvlText w:val="◦"/>
      <w:lvlJc w:val="left"/>
      <w:pPr>
        <w:ind w:left="900" w:hanging="26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9818298">
    <w:abstractNumId w:val="4"/>
  </w:num>
  <w:num w:numId="2" w16cid:durableId="782306396">
    <w:abstractNumId w:val="1"/>
  </w:num>
  <w:num w:numId="3" w16cid:durableId="554781824">
    <w:abstractNumId w:val="0"/>
  </w:num>
  <w:num w:numId="4" w16cid:durableId="1457409585">
    <w:abstractNumId w:val="3"/>
  </w:num>
  <w:num w:numId="5" w16cid:durableId="20495257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2"/>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AF5"/>
    <w:rsid w:val="00047AF2"/>
    <w:rsid w:val="00066FC0"/>
    <w:rsid w:val="000712A9"/>
    <w:rsid w:val="00137246"/>
    <w:rsid w:val="00234E91"/>
    <w:rsid w:val="00287150"/>
    <w:rsid w:val="00294586"/>
    <w:rsid w:val="002E4F92"/>
    <w:rsid w:val="002F65EA"/>
    <w:rsid w:val="00377CFD"/>
    <w:rsid w:val="003A51FC"/>
    <w:rsid w:val="00435DD2"/>
    <w:rsid w:val="004410EA"/>
    <w:rsid w:val="00450D3F"/>
    <w:rsid w:val="004726E2"/>
    <w:rsid w:val="00483AB5"/>
    <w:rsid w:val="005510B9"/>
    <w:rsid w:val="005831F5"/>
    <w:rsid w:val="0059636C"/>
    <w:rsid w:val="00607B4C"/>
    <w:rsid w:val="006B25C7"/>
    <w:rsid w:val="007149E0"/>
    <w:rsid w:val="0077055B"/>
    <w:rsid w:val="0077464E"/>
    <w:rsid w:val="00822024"/>
    <w:rsid w:val="00837EDF"/>
    <w:rsid w:val="008436E1"/>
    <w:rsid w:val="00891079"/>
    <w:rsid w:val="008D3AF5"/>
    <w:rsid w:val="008E5800"/>
    <w:rsid w:val="00957C2B"/>
    <w:rsid w:val="009F1587"/>
    <w:rsid w:val="009F4ACE"/>
    <w:rsid w:val="00A16167"/>
    <w:rsid w:val="00A43F5A"/>
    <w:rsid w:val="00A567FD"/>
    <w:rsid w:val="00A57F1D"/>
    <w:rsid w:val="00B42FAB"/>
    <w:rsid w:val="00B94CC2"/>
    <w:rsid w:val="00BC3271"/>
    <w:rsid w:val="00BD792D"/>
    <w:rsid w:val="00C16F25"/>
    <w:rsid w:val="00C81CC3"/>
    <w:rsid w:val="00C91C53"/>
    <w:rsid w:val="00CD6708"/>
    <w:rsid w:val="00D20A2D"/>
    <w:rsid w:val="00DD5319"/>
    <w:rsid w:val="00E138EE"/>
    <w:rsid w:val="00E83A68"/>
    <w:rsid w:val="00E9480D"/>
    <w:rsid w:val="00EE10BF"/>
    <w:rsid w:val="00F723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9257F"/>
  <w15:docId w15:val="{4739CA8B-A1A0-4859-95E6-FFF0B959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B4C"/>
  </w:style>
  <w:style w:type="paragraph" w:styleId="Ttulo1">
    <w:name w:val="heading 1"/>
    <w:basedOn w:val="Normal"/>
    <w:next w:val="Normal"/>
    <w:uiPriority w:val="9"/>
    <w:qFormat/>
    <w:pPr>
      <w:pBdr>
        <w:top w:val="nil"/>
        <w:left w:val="nil"/>
        <w:bottom w:val="nil"/>
        <w:right w:val="nil"/>
        <w:between w:val="nil"/>
      </w:pBdr>
      <w:spacing w:before="320" w:after="180"/>
      <w:outlineLvl w:val="0"/>
    </w:pPr>
    <w:rPr>
      <w:b/>
      <w:bCs/>
      <w:color w:val="1B3A5C"/>
      <w:sz w:val="34"/>
      <w:szCs w:val="34"/>
    </w:rPr>
  </w:style>
  <w:style w:type="paragraph" w:styleId="Ttulo2">
    <w:name w:val="heading 2"/>
    <w:basedOn w:val="Normal"/>
    <w:next w:val="Normal"/>
    <w:uiPriority w:val="9"/>
    <w:unhideWhenUsed/>
    <w:qFormat/>
    <w:pPr>
      <w:pBdr>
        <w:top w:val="nil"/>
        <w:left w:val="nil"/>
        <w:bottom w:val="nil"/>
        <w:right w:val="nil"/>
        <w:between w:val="nil"/>
      </w:pBdr>
      <w:spacing w:before="260" w:after="140"/>
      <w:outlineLvl w:val="1"/>
    </w:pPr>
    <w:rPr>
      <w:b/>
      <w:bCs/>
      <w:color w:val="2E6DA4"/>
      <w:sz w:val="27"/>
      <w:szCs w:val="27"/>
    </w:rPr>
  </w:style>
  <w:style w:type="paragraph" w:styleId="Ttulo3">
    <w:name w:val="heading 3"/>
    <w:basedOn w:val="Normal"/>
    <w:next w:val="Normal"/>
    <w:link w:val="Ttulo3Car"/>
    <w:uiPriority w:val="9"/>
    <w:unhideWhenUsed/>
    <w:qFormat/>
    <w:pPr>
      <w:pBdr>
        <w:top w:val="nil"/>
        <w:left w:val="nil"/>
        <w:bottom w:val="nil"/>
        <w:right w:val="nil"/>
        <w:between w:val="nil"/>
      </w:pBdr>
      <w:spacing w:before="200" w:after="100"/>
      <w:outlineLvl w:val="2"/>
    </w:pPr>
    <w:rPr>
      <w:b/>
      <w:bCs/>
      <w:color w:val="1B3A5C"/>
      <w:sz w:val="23"/>
      <w:szCs w:val="23"/>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4726E2"/>
    <w:pPr>
      <w:tabs>
        <w:tab w:val="center" w:pos="4419"/>
        <w:tab w:val="right" w:pos="8838"/>
      </w:tabs>
    </w:pPr>
  </w:style>
  <w:style w:type="character" w:customStyle="1" w:styleId="EncabezadoCar">
    <w:name w:val="Encabezado Car"/>
    <w:basedOn w:val="Fuentedeprrafopredeter"/>
    <w:link w:val="Encabezado"/>
    <w:uiPriority w:val="99"/>
    <w:rsid w:val="004726E2"/>
  </w:style>
  <w:style w:type="paragraph" w:styleId="Piedepgina">
    <w:name w:val="footer"/>
    <w:basedOn w:val="Normal"/>
    <w:link w:val="PiedepginaCar"/>
    <w:uiPriority w:val="99"/>
    <w:unhideWhenUsed/>
    <w:rsid w:val="004726E2"/>
    <w:pPr>
      <w:tabs>
        <w:tab w:val="center" w:pos="4419"/>
        <w:tab w:val="right" w:pos="8838"/>
      </w:tabs>
    </w:pPr>
  </w:style>
  <w:style w:type="character" w:customStyle="1" w:styleId="PiedepginaCar">
    <w:name w:val="Pie de página Car"/>
    <w:basedOn w:val="Fuentedeprrafopredeter"/>
    <w:link w:val="Piedepgina"/>
    <w:uiPriority w:val="99"/>
    <w:rsid w:val="004726E2"/>
  </w:style>
  <w:style w:type="table" w:styleId="Tablaconcuadrcula">
    <w:name w:val="Table Grid"/>
    <w:basedOn w:val="Tablanormal"/>
    <w:uiPriority w:val="39"/>
    <w:rsid w:val="00583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831F5"/>
    <w:rPr>
      <w:b/>
      <w:bCs/>
      <w:color w:val="1B3A5C"/>
      <w:sz w:val="23"/>
      <w:szCs w:val="23"/>
    </w:rPr>
  </w:style>
  <w:style w:type="paragraph" w:styleId="TtuloTDC">
    <w:name w:val="TOC Heading"/>
    <w:basedOn w:val="Ttulo1"/>
    <w:next w:val="Normal"/>
    <w:uiPriority w:val="39"/>
    <w:unhideWhenUsed/>
    <w:qFormat/>
    <w:rsid w:val="00E138EE"/>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E138EE"/>
    <w:pPr>
      <w:spacing w:after="100"/>
    </w:pPr>
  </w:style>
  <w:style w:type="paragraph" w:styleId="TDC3">
    <w:name w:val="toc 3"/>
    <w:basedOn w:val="Normal"/>
    <w:next w:val="Normal"/>
    <w:autoRedefine/>
    <w:uiPriority w:val="39"/>
    <w:unhideWhenUsed/>
    <w:rsid w:val="00E138EE"/>
    <w:pPr>
      <w:spacing w:after="100"/>
      <w:ind w:left="440"/>
    </w:pPr>
  </w:style>
  <w:style w:type="paragraph" w:styleId="TDC2">
    <w:name w:val="toc 2"/>
    <w:basedOn w:val="Normal"/>
    <w:next w:val="Normal"/>
    <w:autoRedefine/>
    <w:uiPriority w:val="39"/>
    <w:unhideWhenUsed/>
    <w:rsid w:val="00E138EE"/>
    <w:pPr>
      <w:spacing w:after="100"/>
      <w:ind w:left="220"/>
    </w:pPr>
  </w:style>
  <w:style w:type="character" w:styleId="Hipervnculo">
    <w:name w:val="Hyperlink"/>
    <w:basedOn w:val="Fuentedeprrafopredeter"/>
    <w:uiPriority w:val="99"/>
    <w:unhideWhenUsed/>
    <w:rsid w:val="00E138EE"/>
    <w:rPr>
      <w:color w:val="0000FF" w:themeColor="hyperlink"/>
      <w:u w:val="single"/>
    </w:rPr>
  </w:style>
  <w:style w:type="paragraph" w:styleId="Prrafodelista">
    <w:name w:val="List Paragraph"/>
    <w:basedOn w:val="Normal"/>
    <w:uiPriority w:val="34"/>
    <w:qFormat/>
    <w:rsid w:val="00EE10BF"/>
    <w:pPr>
      <w:ind w:left="720"/>
      <w:contextualSpacing/>
    </w:pPr>
  </w:style>
  <w:style w:type="paragraph" w:styleId="Revisin">
    <w:name w:val="Revision"/>
    <w:hidden/>
    <w:uiPriority w:val="99"/>
    <w:semiHidden/>
    <w:rsid w:val="00957C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diagramQuickStyle" Target="diagrams/quickStyle2.xml"/><Relationship Id="rId10" Type="http://schemas.openxmlformats.org/officeDocument/2006/relationships/diagramQuickStyle" Target="diagrams/quickStyle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D58065-FA83-4DBD-B0D2-AAAE45BDF37A}"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s-CL"/>
        </a:p>
      </dgm:t>
    </dgm:pt>
    <dgm:pt modelId="{D3A47BEC-CC5A-486E-9291-672EA175E24E}">
      <dgm:prSet phldrT="[Texto]"/>
      <dgm:spPr/>
      <dgm:t>
        <a:bodyPr/>
        <a:lstStyle/>
        <a:p>
          <a:pPr>
            <a:buNone/>
          </a:pPr>
          <a:r>
            <a:rPr lang="es-CL" b="1" i="0"/>
            <a:t>CEN — lo que necesita recibir</a:t>
          </a:r>
        </a:p>
        <a:p>
          <a:pPr>
            <a:buNone/>
          </a:pPr>
          <a:r>
            <a:rPr lang="es-CL" b="0" i="0"/>
            <a:t>Co-diseño de formularios RENAPMA. Presidencia del subcomité de actualización de umbrales. Reconocimiento explícito en la ley como autoridad de revisión técnica del sistema automático.</a:t>
          </a:r>
          <a:endParaRPr lang="es-CL"/>
        </a:p>
      </dgm:t>
    </dgm:pt>
    <dgm:pt modelId="{C06FE793-4CB7-4E28-9440-64B3E1EAB058}" type="parTrans" cxnId="{A274B9CC-C0BC-4867-8787-69A30CDA2FD0}">
      <dgm:prSet/>
      <dgm:spPr/>
      <dgm:t>
        <a:bodyPr/>
        <a:lstStyle/>
        <a:p>
          <a:endParaRPr lang="es-CL"/>
        </a:p>
      </dgm:t>
    </dgm:pt>
    <dgm:pt modelId="{F21B1D98-6F29-4733-8DB8-D50AB3D26B42}" type="sibTrans" cxnId="{A274B9CC-C0BC-4867-8787-69A30CDA2FD0}">
      <dgm:prSet/>
      <dgm:spPr/>
      <dgm:t>
        <a:bodyPr/>
        <a:lstStyle/>
        <a:p>
          <a:endParaRPr lang="es-CL"/>
        </a:p>
      </dgm:t>
    </dgm:pt>
    <dgm:pt modelId="{0D8F2F9F-19BB-41CD-9415-AF0D74947077}">
      <dgm:prSet phldrT="[Texto]"/>
      <dgm:spPr/>
      <dgm:t>
        <a:bodyPr/>
        <a:lstStyle/>
        <a:p>
          <a:pPr>
            <a:buNone/>
          </a:pPr>
          <a:r>
            <a:rPr lang="es-CL" b="1" i="0"/>
            <a:t>Superintendencia — lo que necesita recibir</a:t>
          </a:r>
        </a:p>
        <a:p>
          <a:pPr>
            <a:buNone/>
          </a:pPr>
          <a:r>
            <a:rPr lang="es-CL" b="0" i="0"/>
            <a:t>Presupuesto específico en glosa de ley para construir el RENAPMA. Reconocimiento como administrador central del registro. Mesa técnica AFP previa al lanzamiento.</a:t>
          </a:r>
          <a:endParaRPr lang="es-CL"/>
        </a:p>
      </dgm:t>
    </dgm:pt>
    <dgm:pt modelId="{22FA7598-3196-4F7E-8E12-DD3C8194A723}" type="parTrans" cxnId="{150E94B3-D303-4A73-A4BA-8E0FA517FF66}">
      <dgm:prSet/>
      <dgm:spPr/>
      <dgm:t>
        <a:bodyPr/>
        <a:lstStyle/>
        <a:p>
          <a:endParaRPr lang="es-CL"/>
        </a:p>
      </dgm:t>
    </dgm:pt>
    <dgm:pt modelId="{F9D6B48C-367D-42D2-B3F7-0BE4FF87B117}" type="sibTrans" cxnId="{150E94B3-D303-4A73-A4BA-8E0FA517FF66}">
      <dgm:prSet/>
      <dgm:spPr/>
      <dgm:t>
        <a:bodyPr/>
        <a:lstStyle/>
        <a:p>
          <a:endParaRPr lang="es-CL"/>
        </a:p>
      </dgm:t>
    </dgm:pt>
    <dgm:pt modelId="{7FEF9B30-90D7-45DB-A2DE-AE223D1B2AE1}">
      <dgm:prSet phldrT="[Texto]"/>
      <dgm:spPr/>
      <dgm:t>
        <a:bodyPr/>
        <a:lstStyle/>
        <a:p>
          <a:pPr>
            <a:buNone/>
          </a:pPr>
          <a:r>
            <a:rPr lang="es-CL" b="1" i="0"/>
            <a:t>Empleadores — lo que necesitan recibir</a:t>
          </a:r>
        </a:p>
        <a:p>
          <a:pPr>
            <a:buNone/>
          </a:pPr>
          <a:r>
            <a:rPr lang="es-CL" b="0" i="0"/>
            <a:t>Plazo de cuotas para cotizaciones retroactivas. Definición pre-legislativa del alcance del Factor B. Piloto voluntario con la gran minería para co-diseñar el proceso de inscripción.</a:t>
          </a:r>
          <a:endParaRPr lang="es-CL"/>
        </a:p>
      </dgm:t>
    </dgm:pt>
    <dgm:pt modelId="{CA0795F9-34B6-4726-8BCB-C104A918E46D}" type="parTrans" cxnId="{2676680E-E97F-464E-AD00-24AF688EEDFD}">
      <dgm:prSet/>
      <dgm:spPr/>
      <dgm:t>
        <a:bodyPr/>
        <a:lstStyle/>
        <a:p>
          <a:endParaRPr lang="es-CL"/>
        </a:p>
      </dgm:t>
    </dgm:pt>
    <dgm:pt modelId="{6812113A-9E28-4C78-B27E-5AE4C1973C39}" type="sibTrans" cxnId="{2676680E-E97F-464E-AD00-24AF688EEDFD}">
      <dgm:prSet/>
      <dgm:spPr/>
      <dgm:t>
        <a:bodyPr/>
        <a:lstStyle/>
        <a:p>
          <a:endParaRPr lang="es-CL"/>
        </a:p>
      </dgm:t>
    </dgm:pt>
    <dgm:pt modelId="{F5486B98-234D-4C11-8737-280538F80A59}">
      <dgm:prSet phldrT="[Texto]"/>
      <dgm:spPr/>
      <dgm:t>
        <a:bodyPr/>
        <a:lstStyle/>
        <a:p>
          <a:pPr>
            <a:buNone/>
          </a:pPr>
          <a:r>
            <a:rPr lang="es-CL" b="1" i="0"/>
            <a:t>Trabajadores — lo que necesitan recibir</a:t>
          </a:r>
        </a:p>
        <a:p>
          <a:pPr>
            <a:buNone/>
          </a:pPr>
          <a:r>
            <a:rPr lang="es-CL" b="0" i="0"/>
            <a:t>Representación en subcomité técnico RENAPMA. Rol de auditor externo en los primeros 12 meses. Acción directa ante DT para inscripción forzada. Principio pro operario explícito en la ley.</a:t>
          </a:r>
          <a:endParaRPr lang="es-CL"/>
        </a:p>
      </dgm:t>
    </dgm:pt>
    <dgm:pt modelId="{F5C25481-B61B-4E13-922E-F554640AA816}" type="parTrans" cxnId="{38E75B3B-F1BF-43F8-A7BD-23693EEF1079}">
      <dgm:prSet/>
      <dgm:spPr/>
      <dgm:t>
        <a:bodyPr/>
        <a:lstStyle/>
        <a:p>
          <a:endParaRPr lang="es-CL"/>
        </a:p>
      </dgm:t>
    </dgm:pt>
    <dgm:pt modelId="{FA929066-B61A-4862-A57D-C944567F6EC9}" type="sibTrans" cxnId="{38E75B3B-F1BF-43F8-A7BD-23693EEF1079}">
      <dgm:prSet/>
      <dgm:spPr/>
      <dgm:t>
        <a:bodyPr/>
        <a:lstStyle/>
        <a:p>
          <a:endParaRPr lang="es-CL"/>
        </a:p>
      </dgm:t>
    </dgm:pt>
    <dgm:pt modelId="{0A8E027C-3FDB-4A21-974E-82FE0C6A53C0}" type="pres">
      <dgm:prSet presAssocID="{AED58065-FA83-4DBD-B0D2-AAAE45BDF37A}" presName="matrix" presStyleCnt="0">
        <dgm:presLayoutVars>
          <dgm:chMax val="1"/>
          <dgm:dir/>
          <dgm:resizeHandles val="exact"/>
        </dgm:presLayoutVars>
      </dgm:prSet>
      <dgm:spPr/>
    </dgm:pt>
    <dgm:pt modelId="{E712EA07-FF30-479A-834A-A4D8932CD665}" type="pres">
      <dgm:prSet presAssocID="{AED58065-FA83-4DBD-B0D2-AAAE45BDF37A}" presName="axisShape" presStyleLbl="bgShp" presStyleIdx="0" presStyleCnt="1"/>
      <dgm:spPr/>
    </dgm:pt>
    <dgm:pt modelId="{FA2A89BB-5B54-4DB0-B697-4DC5CE97D3BB}" type="pres">
      <dgm:prSet presAssocID="{AED58065-FA83-4DBD-B0D2-AAAE45BDF37A}" presName="rect1" presStyleLbl="node1" presStyleIdx="0" presStyleCnt="4">
        <dgm:presLayoutVars>
          <dgm:chMax val="0"/>
          <dgm:chPref val="0"/>
          <dgm:bulletEnabled val="1"/>
        </dgm:presLayoutVars>
      </dgm:prSet>
      <dgm:spPr/>
    </dgm:pt>
    <dgm:pt modelId="{1E4B2D28-28DF-4E44-9FBD-C10C7BBCC526}" type="pres">
      <dgm:prSet presAssocID="{AED58065-FA83-4DBD-B0D2-AAAE45BDF37A}" presName="rect2" presStyleLbl="node1" presStyleIdx="1" presStyleCnt="4">
        <dgm:presLayoutVars>
          <dgm:chMax val="0"/>
          <dgm:chPref val="0"/>
          <dgm:bulletEnabled val="1"/>
        </dgm:presLayoutVars>
      </dgm:prSet>
      <dgm:spPr/>
    </dgm:pt>
    <dgm:pt modelId="{27753E5C-934C-4FD9-B28E-12D7DBB93E83}" type="pres">
      <dgm:prSet presAssocID="{AED58065-FA83-4DBD-B0D2-AAAE45BDF37A}" presName="rect3" presStyleLbl="node1" presStyleIdx="2" presStyleCnt="4">
        <dgm:presLayoutVars>
          <dgm:chMax val="0"/>
          <dgm:chPref val="0"/>
          <dgm:bulletEnabled val="1"/>
        </dgm:presLayoutVars>
      </dgm:prSet>
      <dgm:spPr/>
    </dgm:pt>
    <dgm:pt modelId="{9B95D8AE-3B30-4690-A378-2D98A4888286}" type="pres">
      <dgm:prSet presAssocID="{AED58065-FA83-4DBD-B0D2-AAAE45BDF37A}" presName="rect4" presStyleLbl="node1" presStyleIdx="3" presStyleCnt="4">
        <dgm:presLayoutVars>
          <dgm:chMax val="0"/>
          <dgm:chPref val="0"/>
          <dgm:bulletEnabled val="1"/>
        </dgm:presLayoutVars>
      </dgm:prSet>
      <dgm:spPr/>
    </dgm:pt>
  </dgm:ptLst>
  <dgm:cxnLst>
    <dgm:cxn modelId="{2676680E-E97F-464E-AD00-24AF688EEDFD}" srcId="{AED58065-FA83-4DBD-B0D2-AAAE45BDF37A}" destId="{7FEF9B30-90D7-45DB-A2DE-AE223D1B2AE1}" srcOrd="2" destOrd="0" parTransId="{CA0795F9-34B6-4726-8BCB-C104A918E46D}" sibTransId="{6812113A-9E28-4C78-B27E-5AE4C1973C39}"/>
    <dgm:cxn modelId="{38E75B3B-F1BF-43F8-A7BD-23693EEF1079}" srcId="{AED58065-FA83-4DBD-B0D2-AAAE45BDF37A}" destId="{F5486B98-234D-4C11-8737-280538F80A59}" srcOrd="3" destOrd="0" parTransId="{F5C25481-B61B-4E13-922E-F554640AA816}" sibTransId="{FA929066-B61A-4862-A57D-C944567F6EC9}"/>
    <dgm:cxn modelId="{6718994F-B943-4DCB-B567-8CC4022F77B0}" type="presOf" srcId="{0D8F2F9F-19BB-41CD-9415-AF0D74947077}" destId="{1E4B2D28-28DF-4E44-9FBD-C10C7BBCC526}" srcOrd="0" destOrd="0" presId="urn:microsoft.com/office/officeart/2005/8/layout/matrix2"/>
    <dgm:cxn modelId="{221B756E-4EAF-4AD9-B8A3-B853A00F387B}" type="presOf" srcId="{F5486B98-234D-4C11-8737-280538F80A59}" destId="{9B95D8AE-3B30-4690-A378-2D98A4888286}" srcOrd="0" destOrd="0" presId="urn:microsoft.com/office/officeart/2005/8/layout/matrix2"/>
    <dgm:cxn modelId="{6CC4A68D-07F8-4EF4-B84E-83F202147FF3}" type="presOf" srcId="{AED58065-FA83-4DBD-B0D2-AAAE45BDF37A}" destId="{0A8E027C-3FDB-4A21-974E-82FE0C6A53C0}" srcOrd="0" destOrd="0" presId="urn:microsoft.com/office/officeart/2005/8/layout/matrix2"/>
    <dgm:cxn modelId="{150E94B3-D303-4A73-A4BA-8E0FA517FF66}" srcId="{AED58065-FA83-4DBD-B0D2-AAAE45BDF37A}" destId="{0D8F2F9F-19BB-41CD-9415-AF0D74947077}" srcOrd="1" destOrd="0" parTransId="{22FA7598-3196-4F7E-8E12-DD3C8194A723}" sibTransId="{F9D6B48C-367D-42D2-B3F7-0BE4FF87B117}"/>
    <dgm:cxn modelId="{A274B9CC-C0BC-4867-8787-69A30CDA2FD0}" srcId="{AED58065-FA83-4DBD-B0D2-AAAE45BDF37A}" destId="{D3A47BEC-CC5A-486E-9291-672EA175E24E}" srcOrd="0" destOrd="0" parTransId="{C06FE793-4CB7-4E28-9440-64B3E1EAB058}" sibTransId="{F21B1D98-6F29-4733-8DB8-D50AB3D26B42}"/>
    <dgm:cxn modelId="{DB38EACD-4406-4B00-92EE-173A895B9C11}" type="presOf" srcId="{7FEF9B30-90D7-45DB-A2DE-AE223D1B2AE1}" destId="{27753E5C-934C-4FD9-B28E-12D7DBB93E83}" srcOrd="0" destOrd="0" presId="urn:microsoft.com/office/officeart/2005/8/layout/matrix2"/>
    <dgm:cxn modelId="{7FC7CDD0-2333-41C7-BE2D-374537CB3958}" type="presOf" srcId="{D3A47BEC-CC5A-486E-9291-672EA175E24E}" destId="{FA2A89BB-5B54-4DB0-B697-4DC5CE97D3BB}" srcOrd="0" destOrd="0" presId="urn:microsoft.com/office/officeart/2005/8/layout/matrix2"/>
    <dgm:cxn modelId="{9D9B7300-32E1-4441-95B6-AF6E6B01D264}" type="presParOf" srcId="{0A8E027C-3FDB-4A21-974E-82FE0C6A53C0}" destId="{E712EA07-FF30-479A-834A-A4D8932CD665}" srcOrd="0" destOrd="0" presId="urn:microsoft.com/office/officeart/2005/8/layout/matrix2"/>
    <dgm:cxn modelId="{CA0E56CA-B5D0-4DDA-AD50-5BAFFAE8A77D}" type="presParOf" srcId="{0A8E027C-3FDB-4A21-974E-82FE0C6A53C0}" destId="{FA2A89BB-5B54-4DB0-B697-4DC5CE97D3BB}" srcOrd="1" destOrd="0" presId="urn:microsoft.com/office/officeart/2005/8/layout/matrix2"/>
    <dgm:cxn modelId="{C5725B05-EE14-4C3B-BB97-BA1414AE8EA2}" type="presParOf" srcId="{0A8E027C-3FDB-4A21-974E-82FE0C6A53C0}" destId="{1E4B2D28-28DF-4E44-9FBD-C10C7BBCC526}" srcOrd="2" destOrd="0" presId="urn:microsoft.com/office/officeart/2005/8/layout/matrix2"/>
    <dgm:cxn modelId="{83DA80CD-78A8-4792-99C4-C45AEC6001EE}" type="presParOf" srcId="{0A8E027C-3FDB-4A21-974E-82FE0C6A53C0}" destId="{27753E5C-934C-4FD9-B28E-12D7DBB93E83}" srcOrd="3" destOrd="0" presId="urn:microsoft.com/office/officeart/2005/8/layout/matrix2"/>
    <dgm:cxn modelId="{1563984B-D8BA-4144-8DE6-903AB7AFB269}" type="presParOf" srcId="{0A8E027C-3FDB-4A21-974E-82FE0C6A53C0}" destId="{9B95D8AE-3B30-4690-A378-2D98A4888286}" srcOrd="4" destOrd="0" presId="urn:microsoft.com/office/officeart/2005/8/layout/matrix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70A097-7AA3-4F4E-BA38-08465529BCF0}" type="doc">
      <dgm:prSet loTypeId="urn:microsoft.com/office/officeart/2024/layout/VerticalActionList" loCatId="list" qsTypeId="urn:microsoft.com/office/officeart/2005/8/quickstyle/simple1" qsCatId="simple" csTypeId="urn:microsoft.com/office/officeart/2005/8/colors/accent1_2" csCatId="accent1" phldr="1"/>
      <dgm:spPr/>
      <dgm:t>
        <a:bodyPr/>
        <a:lstStyle/>
        <a:p>
          <a:endParaRPr lang="es-CL"/>
        </a:p>
      </dgm:t>
    </dgm:pt>
    <dgm:pt modelId="{2ED9CEAB-6D22-43AA-A466-7C04841A98CE}">
      <dgm:prSet phldrT="[Texto]"/>
      <dgm:spPr/>
      <dgm:t>
        <a:bodyPr/>
        <a:lstStyle/>
        <a:p>
          <a:pPr algn="ctr"/>
          <a:r>
            <a:rPr lang="es-CL"/>
            <a:t>1</a:t>
          </a:r>
        </a:p>
      </dgm:t>
    </dgm:pt>
    <dgm:pt modelId="{0E011BDF-3136-4F20-8400-76931DF37EA8}" type="parTrans" cxnId="{3ABC8B1A-2AFD-49BD-BE74-7DCBBFF1A760}">
      <dgm:prSet/>
      <dgm:spPr/>
      <dgm:t>
        <a:bodyPr/>
        <a:lstStyle/>
        <a:p>
          <a:endParaRPr lang="es-CL"/>
        </a:p>
      </dgm:t>
    </dgm:pt>
    <dgm:pt modelId="{4136CF63-7313-472C-84F4-EF0F84379489}" type="sibTrans" cxnId="{3ABC8B1A-2AFD-49BD-BE74-7DCBBFF1A760}">
      <dgm:prSet/>
      <dgm:spPr/>
      <dgm:t>
        <a:bodyPr/>
        <a:lstStyle/>
        <a:p>
          <a:endParaRPr lang="es-CL"/>
        </a:p>
      </dgm:t>
    </dgm:pt>
    <dgm:pt modelId="{A96F8C26-F409-45A1-8EF8-468EFF215C6D}">
      <dgm:prSet phldrT="[Texto]"/>
      <dgm:spPr/>
      <dgm:t>
        <a:bodyPr/>
        <a:lstStyle/>
        <a:p>
          <a:pPr algn="just">
            <a:buNone/>
          </a:pPr>
          <a:r>
            <a:rPr lang="es-CL"/>
            <a:t>Mesa técnica bilateral empleadores-trabajadores (mes -4 antes de ingreso): definir umbrales consensuados para los 7 factores. Un acuerdo técnico previo elimina el debate político en el Congreso.</a:t>
          </a:r>
        </a:p>
      </dgm:t>
    </dgm:pt>
    <dgm:pt modelId="{07BCE02A-412C-4AC8-B84C-8E3B0AFC63FC}" type="parTrans" cxnId="{4C140131-9E69-41DE-B0C3-58DF1BF56BCD}">
      <dgm:prSet/>
      <dgm:spPr/>
      <dgm:t>
        <a:bodyPr/>
        <a:lstStyle/>
        <a:p>
          <a:endParaRPr lang="es-CL"/>
        </a:p>
      </dgm:t>
    </dgm:pt>
    <dgm:pt modelId="{AEFC649E-D7FC-4860-9D92-53626B9C74E3}" type="sibTrans" cxnId="{4C140131-9E69-41DE-B0C3-58DF1BF56BCD}">
      <dgm:prSet/>
      <dgm:spPr/>
      <dgm:t>
        <a:bodyPr/>
        <a:lstStyle/>
        <a:p>
          <a:endParaRPr lang="es-CL"/>
        </a:p>
      </dgm:t>
    </dgm:pt>
    <dgm:pt modelId="{20356B51-4F56-4751-A712-D6DE6A17A4E5}">
      <dgm:prSet phldrT="[Texto]"/>
      <dgm:spPr/>
      <dgm:t>
        <a:bodyPr/>
        <a:lstStyle/>
        <a:p>
          <a:pPr algn="ctr"/>
          <a:r>
            <a:rPr lang="es-CL"/>
            <a:t>2</a:t>
          </a:r>
        </a:p>
      </dgm:t>
    </dgm:pt>
    <dgm:pt modelId="{712F4CC2-8A12-4ED2-A87B-536FEE753368}" type="parTrans" cxnId="{10974B51-C24A-4C9B-8FC4-3AC1BDF11F36}">
      <dgm:prSet/>
      <dgm:spPr/>
      <dgm:t>
        <a:bodyPr/>
        <a:lstStyle/>
        <a:p>
          <a:endParaRPr lang="es-CL"/>
        </a:p>
      </dgm:t>
    </dgm:pt>
    <dgm:pt modelId="{AB368101-500A-488B-97EE-8455A81419CE}" type="sibTrans" cxnId="{10974B51-C24A-4C9B-8FC4-3AC1BDF11F36}">
      <dgm:prSet/>
      <dgm:spPr/>
      <dgm:t>
        <a:bodyPr/>
        <a:lstStyle/>
        <a:p>
          <a:endParaRPr lang="es-CL"/>
        </a:p>
      </dgm:t>
    </dgm:pt>
    <dgm:pt modelId="{97BE53E1-4C8B-49A7-877B-F839F46E51E7}">
      <dgm:prSet phldrT="[Texto]"/>
      <dgm:spPr/>
      <dgm:t>
        <a:bodyPr/>
        <a:lstStyle/>
        <a:p>
          <a:pPr algn="just">
            <a:buNone/>
          </a:pPr>
          <a:r>
            <a:rPr lang="es-CL"/>
            <a:t>Acuerdo institucional CEN-Superintendencia (mes -3): protocolo que delimita el nuevo rol de la CEN y le asigna presidencia del subcomité técnico RENAPMA. Evita la resistencia burocrática durante la tramitación.</a:t>
          </a:r>
        </a:p>
      </dgm:t>
    </dgm:pt>
    <dgm:pt modelId="{AD87711F-E6A3-43E7-9F18-C3F1D67DDA4D}" type="parTrans" cxnId="{1327F857-92C0-444B-A2EE-D579527AE21A}">
      <dgm:prSet/>
      <dgm:spPr/>
      <dgm:t>
        <a:bodyPr/>
        <a:lstStyle/>
        <a:p>
          <a:endParaRPr lang="es-CL"/>
        </a:p>
      </dgm:t>
    </dgm:pt>
    <dgm:pt modelId="{338B1039-19B5-422E-B2DE-FC369DAF361D}" type="sibTrans" cxnId="{1327F857-92C0-444B-A2EE-D579527AE21A}">
      <dgm:prSet/>
      <dgm:spPr/>
      <dgm:t>
        <a:bodyPr/>
        <a:lstStyle/>
        <a:p>
          <a:endParaRPr lang="es-CL"/>
        </a:p>
      </dgm:t>
    </dgm:pt>
    <dgm:pt modelId="{617FAA52-F8E4-447A-8054-6704D42CDEA3}">
      <dgm:prSet phldrT="[Texto]"/>
      <dgm:spPr/>
      <dgm:t>
        <a:bodyPr/>
        <a:lstStyle/>
        <a:p>
          <a:pPr algn="ctr"/>
          <a:r>
            <a:rPr lang="es-CL"/>
            <a:t>3</a:t>
          </a:r>
        </a:p>
      </dgm:t>
    </dgm:pt>
    <dgm:pt modelId="{B2C476DC-EDAC-4FF9-9859-A50B4707EE49}" type="parTrans" cxnId="{2ED1A281-C4F7-42DD-8790-5165E8583876}">
      <dgm:prSet/>
      <dgm:spPr/>
      <dgm:t>
        <a:bodyPr/>
        <a:lstStyle/>
        <a:p>
          <a:endParaRPr lang="es-CL"/>
        </a:p>
      </dgm:t>
    </dgm:pt>
    <dgm:pt modelId="{4544025D-4BEF-4AE9-81A1-33E17C86687C}" type="sibTrans" cxnId="{2ED1A281-C4F7-42DD-8790-5165E8583876}">
      <dgm:prSet/>
      <dgm:spPr/>
      <dgm:t>
        <a:bodyPr/>
        <a:lstStyle/>
        <a:p>
          <a:endParaRPr lang="es-CL"/>
        </a:p>
      </dgm:t>
    </dgm:pt>
    <dgm:pt modelId="{76B60A37-F916-4995-84BA-16B733D2095C}">
      <dgm:prSet phldrT="[Texto]"/>
      <dgm:spPr/>
      <dgm:t>
        <a:bodyPr/>
        <a:lstStyle/>
        <a:p>
          <a:pPr algn="just">
            <a:buNone/>
          </a:pPr>
          <a:r>
            <a:rPr lang="es-CL"/>
            <a:t>Piloto CODELCO-CUT (mes -2 a +6): inscripción voluntaria anticipada de 3 faenas como prueba del sistema. Los resultados del piloto se presentan en la comisión parlamentaria como evidencia técnica, reduciendo la incertidumbre legislativa.</a:t>
          </a:r>
        </a:p>
      </dgm:t>
    </dgm:pt>
    <dgm:pt modelId="{75EB512B-A38F-400E-87FB-030F82E808AB}" type="parTrans" cxnId="{B0DE5D90-1702-4BA7-96AD-FCF4CCC65910}">
      <dgm:prSet/>
      <dgm:spPr/>
      <dgm:t>
        <a:bodyPr/>
        <a:lstStyle/>
        <a:p>
          <a:endParaRPr lang="es-CL"/>
        </a:p>
      </dgm:t>
    </dgm:pt>
    <dgm:pt modelId="{CC64AB5F-9282-4957-BAFF-E2ED8C5B4BA3}" type="sibTrans" cxnId="{B0DE5D90-1702-4BA7-96AD-FCF4CCC65910}">
      <dgm:prSet/>
      <dgm:spPr/>
      <dgm:t>
        <a:bodyPr/>
        <a:lstStyle/>
        <a:p>
          <a:endParaRPr lang="es-CL"/>
        </a:p>
      </dgm:t>
    </dgm:pt>
    <dgm:pt modelId="{6F6E6043-B0F5-4C11-AF48-D93CB29DBA4E}">
      <dgm:prSet phldrT="[Texto]"/>
      <dgm:spPr/>
      <dgm:t>
        <a:bodyPr/>
        <a:lstStyle/>
        <a:p>
          <a:pPr algn="ctr"/>
          <a:r>
            <a:rPr lang="es-CL"/>
            <a:t>4</a:t>
          </a:r>
        </a:p>
      </dgm:t>
    </dgm:pt>
    <dgm:pt modelId="{B42055E9-D1EB-488C-A9FE-A6FEFAA7778C}" type="parTrans" cxnId="{7898BFED-D2F4-4B42-9FBB-C3AABFFE7045}">
      <dgm:prSet/>
      <dgm:spPr/>
      <dgm:t>
        <a:bodyPr/>
        <a:lstStyle/>
        <a:p>
          <a:endParaRPr lang="es-CL"/>
        </a:p>
      </dgm:t>
    </dgm:pt>
    <dgm:pt modelId="{85CBD991-C799-4CCF-9B93-A2E09E1C20FA}" type="sibTrans" cxnId="{7898BFED-D2F4-4B42-9FBB-C3AABFFE7045}">
      <dgm:prSet/>
      <dgm:spPr/>
      <dgm:t>
        <a:bodyPr/>
        <a:lstStyle/>
        <a:p>
          <a:endParaRPr lang="es-CL"/>
        </a:p>
      </dgm:t>
    </dgm:pt>
    <dgm:pt modelId="{71DC9A28-C2F6-4D3E-A3FF-550B5FE7DAE3}">
      <dgm:prSet phldrT="[Texto]"/>
      <dgm:spPr/>
      <dgm:t>
        <a:bodyPr/>
        <a:lstStyle/>
        <a:p>
          <a:pPr algn="just">
            <a:buNone/>
          </a:pPr>
          <a:r>
            <a:rPr lang="es-CL"/>
            <a:t>Ingreso del proyecto con acuerdo tripartito: el MINTRAB ingresa el proyecto con una minuta de acuerdo tripartito firmada como antecedente político, convirtiendo la resistencia institucional en apoyo documentado.</a:t>
          </a:r>
        </a:p>
      </dgm:t>
    </dgm:pt>
    <dgm:pt modelId="{E10EDBD5-65CE-4215-BD3B-99BAD428B775}" type="parTrans" cxnId="{4FA35346-B7AB-433A-BC26-64A6D8C484A9}">
      <dgm:prSet/>
      <dgm:spPr/>
      <dgm:t>
        <a:bodyPr/>
        <a:lstStyle/>
        <a:p>
          <a:endParaRPr lang="es-CL"/>
        </a:p>
      </dgm:t>
    </dgm:pt>
    <dgm:pt modelId="{9FA6109C-2897-4DA2-BB59-AC3321652BBA}" type="sibTrans" cxnId="{4FA35346-B7AB-433A-BC26-64A6D8C484A9}">
      <dgm:prSet/>
      <dgm:spPr/>
      <dgm:t>
        <a:bodyPr/>
        <a:lstStyle/>
        <a:p>
          <a:endParaRPr lang="es-CL"/>
        </a:p>
      </dgm:t>
    </dgm:pt>
    <dgm:pt modelId="{0E3ED50F-A73F-43DC-A987-397893281057}" type="pres">
      <dgm:prSet presAssocID="{0870A097-7AA3-4F4E-BA38-08465529BCF0}" presName="Name0" presStyleCnt="0">
        <dgm:presLayoutVars>
          <dgm:dir/>
          <dgm:animLvl val="lvl"/>
          <dgm:resizeHandles val="exact"/>
        </dgm:presLayoutVars>
      </dgm:prSet>
      <dgm:spPr/>
    </dgm:pt>
    <dgm:pt modelId="{EC7C8FEC-4F2D-4A2A-9FE5-A94933BC2C3A}" type="pres">
      <dgm:prSet presAssocID="{2ED9CEAB-6D22-43AA-A466-7C04841A98CE}" presName="linNode" presStyleCnt="0"/>
      <dgm:spPr/>
    </dgm:pt>
    <dgm:pt modelId="{4AA6941F-94FC-45D1-8C74-7340F9B3989E}" type="pres">
      <dgm:prSet presAssocID="{2ED9CEAB-6D22-43AA-A466-7C04841A98CE}" presName="bgOutline" presStyleLbl="fgAcc1" presStyleIdx="0" presStyleCnt="4"/>
      <dgm:spPr/>
    </dgm:pt>
    <dgm:pt modelId="{6820F917-6714-44D5-922E-AE1F71C468E8}" type="pres">
      <dgm:prSet presAssocID="{2ED9CEAB-6D22-43AA-A466-7C04841A98CE}" presName="parentText" presStyleLbl="alignNode1" presStyleIdx="0" presStyleCnt="4">
        <dgm:presLayoutVars>
          <dgm:chMax val="1"/>
          <dgm:bulletEnabled/>
        </dgm:presLayoutVars>
      </dgm:prSet>
      <dgm:spPr/>
    </dgm:pt>
    <dgm:pt modelId="{55F42DE2-F737-4644-B1E3-E2D4779195EB}" type="pres">
      <dgm:prSet presAssocID="{2ED9CEAB-6D22-43AA-A466-7C04841A98CE}" presName="descendantText" presStyleLbl="revTx" presStyleIdx="0" presStyleCnt="0">
        <dgm:presLayoutVars>
          <dgm:bulletEnabled/>
        </dgm:presLayoutVars>
      </dgm:prSet>
      <dgm:spPr/>
    </dgm:pt>
    <dgm:pt modelId="{C412BC84-19D4-4922-9FDE-1153A4714BF3}" type="pres">
      <dgm:prSet presAssocID="{4136CF63-7313-472C-84F4-EF0F84379489}" presName="sp" presStyleCnt="0"/>
      <dgm:spPr/>
    </dgm:pt>
    <dgm:pt modelId="{BCAC6388-B181-4B02-A786-D2A4B1DAFD23}" type="pres">
      <dgm:prSet presAssocID="{20356B51-4F56-4751-A712-D6DE6A17A4E5}" presName="linNode" presStyleCnt="0"/>
      <dgm:spPr/>
    </dgm:pt>
    <dgm:pt modelId="{B161530B-30FD-46A1-AB0C-127B78B3118D}" type="pres">
      <dgm:prSet presAssocID="{20356B51-4F56-4751-A712-D6DE6A17A4E5}" presName="bgOutline" presStyleLbl="fgAcc1" presStyleIdx="1" presStyleCnt="4"/>
      <dgm:spPr/>
    </dgm:pt>
    <dgm:pt modelId="{28865E67-A853-4F21-ABF6-1876C53ABCA8}" type="pres">
      <dgm:prSet presAssocID="{20356B51-4F56-4751-A712-D6DE6A17A4E5}" presName="parentText" presStyleLbl="alignNode1" presStyleIdx="1" presStyleCnt="4">
        <dgm:presLayoutVars>
          <dgm:chMax val="1"/>
          <dgm:bulletEnabled/>
        </dgm:presLayoutVars>
      </dgm:prSet>
      <dgm:spPr/>
    </dgm:pt>
    <dgm:pt modelId="{211A1A23-5104-4695-BACC-C58B97837970}" type="pres">
      <dgm:prSet presAssocID="{20356B51-4F56-4751-A712-D6DE6A17A4E5}" presName="descendantText" presStyleLbl="revTx" presStyleIdx="0" presStyleCnt="0">
        <dgm:presLayoutVars>
          <dgm:bulletEnabled/>
        </dgm:presLayoutVars>
      </dgm:prSet>
      <dgm:spPr/>
    </dgm:pt>
    <dgm:pt modelId="{16CE8113-B28C-4EF7-9F8B-05D9F187B888}" type="pres">
      <dgm:prSet presAssocID="{AB368101-500A-488B-97EE-8455A81419CE}" presName="sp" presStyleCnt="0"/>
      <dgm:spPr/>
    </dgm:pt>
    <dgm:pt modelId="{B99AFDC6-4CAF-4016-B5DA-81F8F3532DB4}" type="pres">
      <dgm:prSet presAssocID="{617FAA52-F8E4-447A-8054-6704D42CDEA3}" presName="linNode" presStyleCnt="0"/>
      <dgm:spPr/>
    </dgm:pt>
    <dgm:pt modelId="{DC50FEC3-50F5-4BBD-A330-052A738BBBBD}" type="pres">
      <dgm:prSet presAssocID="{617FAA52-F8E4-447A-8054-6704D42CDEA3}" presName="bgOutline" presStyleLbl="fgAcc1" presStyleIdx="2" presStyleCnt="4"/>
      <dgm:spPr/>
    </dgm:pt>
    <dgm:pt modelId="{B7DD9ABE-037F-42B3-88C9-A1000916F287}" type="pres">
      <dgm:prSet presAssocID="{617FAA52-F8E4-447A-8054-6704D42CDEA3}" presName="parentText" presStyleLbl="alignNode1" presStyleIdx="2" presStyleCnt="4">
        <dgm:presLayoutVars>
          <dgm:chMax val="1"/>
          <dgm:bulletEnabled/>
        </dgm:presLayoutVars>
      </dgm:prSet>
      <dgm:spPr/>
    </dgm:pt>
    <dgm:pt modelId="{FA858D02-D3B9-4763-8863-C11730D86913}" type="pres">
      <dgm:prSet presAssocID="{617FAA52-F8E4-447A-8054-6704D42CDEA3}" presName="descendantText" presStyleLbl="revTx" presStyleIdx="0" presStyleCnt="0">
        <dgm:presLayoutVars>
          <dgm:bulletEnabled/>
        </dgm:presLayoutVars>
      </dgm:prSet>
      <dgm:spPr/>
    </dgm:pt>
    <dgm:pt modelId="{60AF1D4F-79A3-46FE-AE85-6D71BAAB2719}" type="pres">
      <dgm:prSet presAssocID="{4544025D-4BEF-4AE9-81A1-33E17C86687C}" presName="sp" presStyleCnt="0"/>
      <dgm:spPr/>
    </dgm:pt>
    <dgm:pt modelId="{87941085-2085-4E83-AE51-537CEF37FD58}" type="pres">
      <dgm:prSet presAssocID="{6F6E6043-B0F5-4C11-AF48-D93CB29DBA4E}" presName="linNode" presStyleCnt="0"/>
      <dgm:spPr/>
    </dgm:pt>
    <dgm:pt modelId="{8A48F12F-B0DF-4056-B399-B03039B677EC}" type="pres">
      <dgm:prSet presAssocID="{6F6E6043-B0F5-4C11-AF48-D93CB29DBA4E}" presName="bgOutline" presStyleLbl="fgAcc1" presStyleIdx="3" presStyleCnt="4"/>
      <dgm:spPr/>
    </dgm:pt>
    <dgm:pt modelId="{6F4297CF-CCF0-4755-ADEA-23E0BBC97C6B}" type="pres">
      <dgm:prSet presAssocID="{6F6E6043-B0F5-4C11-AF48-D93CB29DBA4E}" presName="parentText" presStyleLbl="alignNode1" presStyleIdx="3" presStyleCnt="4">
        <dgm:presLayoutVars>
          <dgm:chMax val="1"/>
          <dgm:bulletEnabled/>
        </dgm:presLayoutVars>
      </dgm:prSet>
      <dgm:spPr/>
    </dgm:pt>
    <dgm:pt modelId="{5CC3616E-B1F6-423B-821E-7DC7196CF646}" type="pres">
      <dgm:prSet presAssocID="{6F6E6043-B0F5-4C11-AF48-D93CB29DBA4E}" presName="descendantText" presStyleLbl="revTx" presStyleIdx="0" presStyleCnt="0">
        <dgm:presLayoutVars>
          <dgm:bulletEnabled/>
        </dgm:presLayoutVars>
      </dgm:prSet>
      <dgm:spPr/>
    </dgm:pt>
  </dgm:ptLst>
  <dgm:cxnLst>
    <dgm:cxn modelId="{C7111802-1F60-4066-8DF3-2E8BF9C43DC3}" type="presOf" srcId="{6F6E6043-B0F5-4C11-AF48-D93CB29DBA4E}" destId="{8A48F12F-B0DF-4056-B399-B03039B677EC}" srcOrd="0" destOrd="0" presId="urn:microsoft.com/office/officeart/2024/layout/VerticalActionList"/>
    <dgm:cxn modelId="{CBD4B909-3438-4D60-8F6E-9A8B66BD023E}" type="presOf" srcId="{76B60A37-F916-4995-84BA-16B733D2095C}" destId="{FA858D02-D3B9-4763-8863-C11730D86913}" srcOrd="0" destOrd="0" presId="urn:microsoft.com/office/officeart/2024/layout/VerticalActionList"/>
    <dgm:cxn modelId="{9F6B8817-EF21-4138-8B16-79C2270B5DF6}" type="presOf" srcId="{A96F8C26-F409-45A1-8EF8-468EFF215C6D}" destId="{55F42DE2-F737-4644-B1E3-E2D4779195EB}" srcOrd="0" destOrd="0" presId="urn:microsoft.com/office/officeart/2024/layout/VerticalActionList"/>
    <dgm:cxn modelId="{3ABC8B1A-2AFD-49BD-BE74-7DCBBFF1A760}" srcId="{0870A097-7AA3-4F4E-BA38-08465529BCF0}" destId="{2ED9CEAB-6D22-43AA-A466-7C04841A98CE}" srcOrd="0" destOrd="0" parTransId="{0E011BDF-3136-4F20-8400-76931DF37EA8}" sibTransId="{4136CF63-7313-472C-84F4-EF0F84379489}"/>
    <dgm:cxn modelId="{9F709726-067C-43B1-A8C5-124A01DACC8C}" type="presOf" srcId="{97BE53E1-4C8B-49A7-877B-F839F46E51E7}" destId="{211A1A23-5104-4695-BACC-C58B97837970}" srcOrd="0" destOrd="0" presId="urn:microsoft.com/office/officeart/2024/layout/VerticalActionList"/>
    <dgm:cxn modelId="{4C140131-9E69-41DE-B0C3-58DF1BF56BCD}" srcId="{2ED9CEAB-6D22-43AA-A466-7C04841A98CE}" destId="{A96F8C26-F409-45A1-8EF8-468EFF215C6D}" srcOrd="0" destOrd="0" parTransId="{07BCE02A-412C-4AC8-B84C-8E3B0AFC63FC}" sibTransId="{AEFC649E-D7FC-4860-9D92-53626B9C74E3}"/>
    <dgm:cxn modelId="{CD0E4933-7D2C-4728-AC13-C0B7D061710F}" type="presOf" srcId="{2ED9CEAB-6D22-43AA-A466-7C04841A98CE}" destId="{4AA6941F-94FC-45D1-8C74-7340F9B3989E}" srcOrd="0" destOrd="0" presId="urn:microsoft.com/office/officeart/2024/layout/VerticalActionList"/>
    <dgm:cxn modelId="{4FA35346-B7AB-433A-BC26-64A6D8C484A9}" srcId="{6F6E6043-B0F5-4C11-AF48-D93CB29DBA4E}" destId="{71DC9A28-C2F6-4D3E-A3FF-550B5FE7DAE3}" srcOrd="0" destOrd="0" parTransId="{E10EDBD5-65CE-4215-BD3B-99BAD428B775}" sibTransId="{9FA6109C-2897-4DA2-BB59-AC3321652BBA}"/>
    <dgm:cxn modelId="{10974B51-C24A-4C9B-8FC4-3AC1BDF11F36}" srcId="{0870A097-7AA3-4F4E-BA38-08465529BCF0}" destId="{20356B51-4F56-4751-A712-D6DE6A17A4E5}" srcOrd="1" destOrd="0" parTransId="{712F4CC2-8A12-4ED2-A87B-536FEE753368}" sibTransId="{AB368101-500A-488B-97EE-8455A81419CE}"/>
    <dgm:cxn modelId="{03A13B54-CBC0-4CF8-8B07-63A80EE543BB}" type="presOf" srcId="{20356B51-4F56-4751-A712-D6DE6A17A4E5}" destId="{B161530B-30FD-46A1-AB0C-127B78B3118D}" srcOrd="0" destOrd="0" presId="urn:microsoft.com/office/officeart/2024/layout/VerticalActionList"/>
    <dgm:cxn modelId="{1327F857-92C0-444B-A2EE-D579527AE21A}" srcId="{20356B51-4F56-4751-A712-D6DE6A17A4E5}" destId="{97BE53E1-4C8B-49A7-877B-F839F46E51E7}" srcOrd="0" destOrd="0" parTransId="{AD87711F-E6A3-43E7-9F18-C3F1D67DDA4D}" sibTransId="{338B1039-19B5-422E-B2DE-FC369DAF361D}"/>
    <dgm:cxn modelId="{BE9B0E63-F11B-4A83-8815-75DEDC79EF37}" type="presOf" srcId="{71DC9A28-C2F6-4D3E-A3FF-550B5FE7DAE3}" destId="{5CC3616E-B1F6-423B-821E-7DC7196CF646}" srcOrd="0" destOrd="0" presId="urn:microsoft.com/office/officeart/2024/layout/VerticalActionList"/>
    <dgm:cxn modelId="{2ED1A281-C4F7-42DD-8790-5165E8583876}" srcId="{0870A097-7AA3-4F4E-BA38-08465529BCF0}" destId="{617FAA52-F8E4-447A-8054-6704D42CDEA3}" srcOrd="2" destOrd="0" parTransId="{B2C476DC-EDAC-4FF9-9859-A50B4707EE49}" sibTransId="{4544025D-4BEF-4AE9-81A1-33E17C86687C}"/>
    <dgm:cxn modelId="{2BD29583-3182-49D0-BEE5-CDA1156388E1}" type="presOf" srcId="{6F6E6043-B0F5-4C11-AF48-D93CB29DBA4E}" destId="{6F4297CF-CCF0-4755-ADEA-23E0BBC97C6B}" srcOrd="1" destOrd="0" presId="urn:microsoft.com/office/officeart/2024/layout/VerticalActionList"/>
    <dgm:cxn modelId="{B0DE5D90-1702-4BA7-96AD-FCF4CCC65910}" srcId="{617FAA52-F8E4-447A-8054-6704D42CDEA3}" destId="{76B60A37-F916-4995-84BA-16B733D2095C}" srcOrd="0" destOrd="0" parTransId="{75EB512B-A38F-400E-87FB-030F82E808AB}" sibTransId="{CC64AB5F-9282-4957-BAFF-E2ED8C5B4BA3}"/>
    <dgm:cxn modelId="{75115A95-E330-4675-9146-6B599FC4E1DA}" type="presOf" srcId="{20356B51-4F56-4751-A712-D6DE6A17A4E5}" destId="{28865E67-A853-4F21-ABF6-1876C53ABCA8}" srcOrd="1" destOrd="0" presId="urn:microsoft.com/office/officeart/2024/layout/VerticalActionList"/>
    <dgm:cxn modelId="{522408A2-61E7-4FCE-A7D0-50305E0E723C}" type="presOf" srcId="{0870A097-7AA3-4F4E-BA38-08465529BCF0}" destId="{0E3ED50F-A73F-43DC-A987-397893281057}" srcOrd="0" destOrd="0" presId="urn:microsoft.com/office/officeart/2024/layout/VerticalActionList"/>
    <dgm:cxn modelId="{0B795DA3-F23D-46F7-9FCA-6E34AC680E64}" type="presOf" srcId="{617FAA52-F8E4-447A-8054-6704D42CDEA3}" destId="{B7DD9ABE-037F-42B3-88C9-A1000916F287}" srcOrd="1" destOrd="0" presId="urn:microsoft.com/office/officeart/2024/layout/VerticalActionList"/>
    <dgm:cxn modelId="{D87ACFC6-6950-44A3-8A42-0B173238B713}" type="presOf" srcId="{617FAA52-F8E4-447A-8054-6704D42CDEA3}" destId="{DC50FEC3-50F5-4BBD-A330-052A738BBBBD}" srcOrd="0" destOrd="0" presId="urn:microsoft.com/office/officeart/2024/layout/VerticalActionList"/>
    <dgm:cxn modelId="{7898BFED-D2F4-4B42-9FBB-C3AABFFE7045}" srcId="{0870A097-7AA3-4F4E-BA38-08465529BCF0}" destId="{6F6E6043-B0F5-4C11-AF48-D93CB29DBA4E}" srcOrd="3" destOrd="0" parTransId="{B42055E9-D1EB-488C-A9FE-A6FEFAA7778C}" sibTransId="{85CBD991-C799-4CCF-9B93-A2E09E1C20FA}"/>
    <dgm:cxn modelId="{28C7C5F9-D649-40DE-BB2D-9285112EABAE}" type="presOf" srcId="{2ED9CEAB-6D22-43AA-A466-7C04841A98CE}" destId="{6820F917-6714-44D5-922E-AE1F71C468E8}" srcOrd="1" destOrd="0" presId="urn:microsoft.com/office/officeart/2024/layout/VerticalActionList"/>
    <dgm:cxn modelId="{F6219CBB-12C8-47C0-B7CF-AE5A7AEB7623}" type="presParOf" srcId="{0E3ED50F-A73F-43DC-A987-397893281057}" destId="{EC7C8FEC-4F2D-4A2A-9FE5-A94933BC2C3A}" srcOrd="0" destOrd="0" presId="urn:microsoft.com/office/officeart/2024/layout/VerticalActionList"/>
    <dgm:cxn modelId="{379FE15C-EBA0-45BC-A200-36F80FF8D9D8}" type="presParOf" srcId="{EC7C8FEC-4F2D-4A2A-9FE5-A94933BC2C3A}" destId="{4AA6941F-94FC-45D1-8C74-7340F9B3989E}" srcOrd="0" destOrd="0" presId="urn:microsoft.com/office/officeart/2024/layout/VerticalActionList"/>
    <dgm:cxn modelId="{23DF8F4B-EA6F-4386-A629-8A22DF4114C8}" type="presParOf" srcId="{EC7C8FEC-4F2D-4A2A-9FE5-A94933BC2C3A}" destId="{6820F917-6714-44D5-922E-AE1F71C468E8}" srcOrd="1" destOrd="0" presId="urn:microsoft.com/office/officeart/2024/layout/VerticalActionList"/>
    <dgm:cxn modelId="{A53DE175-3E50-4D3C-972E-A3A8E216A6B4}" type="presParOf" srcId="{EC7C8FEC-4F2D-4A2A-9FE5-A94933BC2C3A}" destId="{55F42DE2-F737-4644-B1E3-E2D4779195EB}" srcOrd="2" destOrd="0" presId="urn:microsoft.com/office/officeart/2024/layout/VerticalActionList"/>
    <dgm:cxn modelId="{EC2CF55A-DF94-48BC-BEDF-1368BBD8E1EF}" type="presParOf" srcId="{0E3ED50F-A73F-43DC-A987-397893281057}" destId="{C412BC84-19D4-4922-9FDE-1153A4714BF3}" srcOrd="1" destOrd="0" presId="urn:microsoft.com/office/officeart/2024/layout/VerticalActionList"/>
    <dgm:cxn modelId="{B0CA620B-2D24-421A-A2C7-B790531EFF02}" type="presParOf" srcId="{0E3ED50F-A73F-43DC-A987-397893281057}" destId="{BCAC6388-B181-4B02-A786-D2A4B1DAFD23}" srcOrd="2" destOrd="0" presId="urn:microsoft.com/office/officeart/2024/layout/VerticalActionList"/>
    <dgm:cxn modelId="{806D52AD-7CD7-46EB-82DF-88AAE0CFCB77}" type="presParOf" srcId="{BCAC6388-B181-4B02-A786-D2A4B1DAFD23}" destId="{B161530B-30FD-46A1-AB0C-127B78B3118D}" srcOrd="0" destOrd="0" presId="urn:microsoft.com/office/officeart/2024/layout/VerticalActionList"/>
    <dgm:cxn modelId="{5DB3B0C4-BFFE-4DA7-AD19-6CF972B2BAA1}" type="presParOf" srcId="{BCAC6388-B181-4B02-A786-D2A4B1DAFD23}" destId="{28865E67-A853-4F21-ABF6-1876C53ABCA8}" srcOrd="1" destOrd="0" presId="urn:microsoft.com/office/officeart/2024/layout/VerticalActionList"/>
    <dgm:cxn modelId="{EB0F1246-C8E4-46BC-B5C8-AFF8974693EC}" type="presParOf" srcId="{BCAC6388-B181-4B02-A786-D2A4B1DAFD23}" destId="{211A1A23-5104-4695-BACC-C58B97837970}" srcOrd="2" destOrd="0" presId="urn:microsoft.com/office/officeart/2024/layout/VerticalActionList"/>
    <dgm:cxn modelId="{3E9939DE-C4E8-497D-B3D1-04561CC34D1B}" type="presParOf" srcId="{0E3ED50F-A73F-43DC-A987-397893281057}" destId="{16CE8113-B28C-4EF7-9F8B-05D9F187B888}" srcOrd="3" destOrd="0" presId="urn:microsoft.com/office/officeart/2024/layout/VerticalActionList"/>
    <dgm:cxn modelId="{0C8AA2F5-00B3-46E2-AA27-1A5A67F33C6D}" type="presParOf" srcId="{0E3ED50F-A73F-43DC-A987-397893281057}" destId="{B99AFDC6-4CAF-4016-B5DA-81F8F3532DB4}" srcOrd="4" destOrd="0" presId="urn:microsoft.com/office/officeart/2024/layout/VerticalActionList"/>
    <dgm:cxn modelId="{428353DC-3832-4132-9B16-E6C7180802D9}" type="presParOf" srcId="{B99AFDC6-4CAF-4016-B5DA-81F8F3532DB4}" destId="{DC50FEC3-50F5-4BBD-A330-052A738BBBBD}" srcOrd="0" destOrd="0" presId="urn:microsoft.com/office/officeart/2024/layout/VerticalActionList"/>
    <dgm:cxn modelId="{DEB35D36-44E4-45CB-93C7-66CDA40A2B43}" type="presParOf" srcId="{B99AFDC6-4CAF-4016-B5DA-81F8F3532DB4}" destId="{B7DD9ABE-037F-42B3-88C9-A1000916F287}" srcOrd="1" destOrd="0" presId="urn:microsoft.com/office/officeart/2024/layout/VerticalActionList"/>
    <dgm:cxn modelId="{234084F7-123F-4B36-AD00-172B98AFEBC3}" type="presParOf" srcId="{B99AFDC6-4CAF-4016-B5DA-81F8F3532DB4}" destId="{FA858D02-D3B9-4763-8863-C11730D86913}" srcOrd="2" destOrd="0" presId="urn:microsoft.com/office/officeart/2024/layout/VerticalActionList"/>
    <dgm:cxn modelId="{832DB04A-9D4F-40E0-AB7B-5E814A9E7A5C}" type="presParOf" srcId="{0E3ED50F-A73F-43DC-A987-397893281057}" destId="{60AF1D4F-79A3-46FE-AE85-6D71BAAB2719}" srcOrd="5" destOrd="0" presId="urn:microsoft.com/office/officeart/2024/layout/VerticalActionList"/>
    <dgm:cxn modelId="{120AE03F-FA6C-4EA4-8B54-E0AA58C0DBF3}" type="presParOf" srcId="{0E3ED50F-A73F-43DC-A987-397893281057}" destId="{87941085-2085-4E83-AE51-537CEF37FD58}" srcOrd="6" destOrd="0" presId="urn:microsoft.com/office/officeart/2024/layout/VerticalActionList"/>
    <dgm:cxn modelId="{3C8AB775-79CC-41F7-B5B3-66007F59B19E}" type="presParOf" srcId="{87941085-2085-4E83-AE51-537CEF37FD58}" destId="{8A48F12F-B0DF-4056-B399-B03039B677EC}" srcOrd="0" destOrd="0" presId="urn:microsoft.com/office/officeart/2024/layout/VerticalActionList"/>
    <dgm:cxn modelId="{230BE1BA-85E5-49D5-A4C4-96879C36FF5E}" type="presParOf" srcId="{87941085-2085-4E83-AE51-537CEF37FD58}" destId="{6F4297CF-CCF0-4755-ADEA-23E0BBC97C6B}" srcOrd="1" destOrd="0" presId="urn:microsoft.com/office/officeart/2024/layout/VerticalActionList"/>
    <dgm:cxn modelId="{37933627-4AF2-4218-851E-A048B04A88F9}" type="presParOf" srcId="{87941085-2085-4E83-AE51-537CEF37FD58}" destId="{5CC3616E-B1F6-423B-821E-7DC7196CF646}" srcOrd="2" destOrd="0" presId="urn:microsoft.com/office/officeart/2024/layout/VerticalAction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12EA07-FF30-479A-834A-A4D8932CD665}">
      <dsp:nvSpPr>
        <dsp:cNvPr id="0" name=""/>
        <dsp:cNvSpPr/>
      </dsp:nvSpPr>
      <dsp:spPr>
        <a:xfrm>
          <a:off x="817474" y="0"/>
          <a:ext cx="3690518" cy="3690518"/>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A2A89BB-5B54-4DB0-B697-4DC5CE97D3BB}">
      <dsp:nvSpPr>
        <dsp:cNvPr id="0" name=""/>
        <dsp:cNvSpPr/>
      </dsp:nvSpPr>
      <dsp:spPr>
        <a:xfrm>
          <a:off x="1057357" y="239883"/>
          <a:ext cx="1476207" cy="14762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L" sz="800" b="1" i="0" kern="1200"/>
            <a:t>CEN — lo que necesita recibir</a:t>
          </a:r>
        </a:p>
        <a:p>
          <a:pPr marL="0" lvl="0" indent="0" algn="ctr" defTabSz="355600">
            <a:lnSpc>
              <a:spcPct val="90000"/>
            </a:lnSpc>
            <a:spcBef>
              <a:spcPct val="0"/>
            </a:spcBef>
            <a:spcAft>
              <a:spcPct val="35000"/>
            </a:spcAft>
            <a:buNone/>
          </a:pPr>
          <a:r>
            <a:rPr lang="es-CL" sz="800" b="0" i="0" kern="1200"/>
            <a:t>Co-diseño de formularios RENAPMA. Presidencia del subcomité de actualización de umbrales. Reconocimiento explícito en la ley como autoridad de revisión técnica del sistema automático.</a:t>
          </a:r>
          <a:endParaRPr lang="es-CL" sz="800" kern="1200"/>
        </a:p>
      </dsp:txBody>
      <dsp:txXfrm>
        <a:off x="1129419" y="311945"/>
        <a:ext cx="1332083" cy="1332083"/>
      </dsp:txXfrm>
    </dsp:sp>
    <dsp:sp modelId="{1E4B2D28-28DF-4E44-9FBD-C10C7BBCC526}">
      <dsp:nvSpPr>
        <dsp:cNvPr id="0" name=""/>
        <dsp:cNvSpPr/>
      </dsp:nvSpPr>
      <dsp:spPr>
        <a:xfrm>
          <a:off x="2791901" y="239883"/>
          <a:ext cx="1476207" cy="14762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L" sz="800" b="1" i="0" kern="1200"/>
            <a:t>Superintendencia — lo que necesita recibir</a:t>
          </a:r>
        </a:p>
        <a:p>
          <a:pPr marL="0" lvl="0" indent="0" algn="ctr" defTabSz="355600">
            <a:lnSpc>
              <a:spcPct val="90000"/>
            </a:lnSpc>
            <a:spcBef>
              <a:spcPct val="0"/>
            </a:spcBef>
            <a:spcAft>
              <a:spcPct val="35000"/>
            </a:spcAft>
            <a:buNone/>
          </a:pPr>
          <a:r>
            <a:rPr lang="es-CL" sz="800" b="0" i="0" kern="1200"/>
            <a:t>Presupuesto específico en glosa de ley para construir el RENAPMA. Reconocimiento como administrador central del registro. Mesa técnica AFP previa al lanzamiento.</a:t>
          </a:r>
          <a:endParaRPr lang="es-CL" sz="800" kern="1200"/>
        </a:p>
      </dsp:txBody>
      <dsp:txXfrm>
        <a:off x="2863963" y="311945"/>
        <a:ext cx="1332083" cy="1332083"/>
      </dsp:txXfrm>
    </dsp:sp>
    <dsp:sp modelId="{27753E5C-934C-4FD9-B28E-12D7DBB93E83}">
      <dsp:nvSpPr>
        <dsp:cNvPr id="0" name=""/>
        <dsp:cNvSpPr/>
      </dsp:nvSpPr>
      <dsp:spPr>
        <a:xfrm>
          <a:off x="1057357" y="1974427"/>
          <a:ext cx="1476207" cy="14762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L" sz="800" b="1" i="0" kern="1200"/>
            <a:t>Empleadores — lo que necesitan recibir</a:t>
          </a:r>
        </a:p>
        <a:p>
          <a:pPr marL="0" lvl="0" indent="0" algn="ctr" defTabSz="355600">
            <a:lnSpc>
              <a:spcPct val="90000"/>
            </a:lnSpc>
            <a:spcBef>
              <a:spcPct val="0"/>
            </a:spcBef>
            <a:spcAft>
              <a:spcPct val="35000"/>
            </a:spcAft>
            <a:buNone/>
          </a:pPr>
          <a:r>
            <a:rPr lang="es-CL" sz="800" b="0" i="0" kern="1200"/>
            <a:t>Plazo de cuotas para cotizaciones retroactivas. Definición pre-legislativa del alcance del Factor B. Piloto voluntario con la gran minería para co-diseñar el proceso de inscripción.</a:t>
          </a:r>
          <a:endParaRPr lang="es-CL" sz="800" kern="1200"/>
        </a:p>
      </dsp:txBody>
      <dsp:txXfrm>
        <a:off x="1129419" y="2046489"/>
        <a:ext cx="1332083" cy="1332083"/>
      </dsp:txXfrm>
    </dsp:sp>
    <dsp:sp modelId="{9B95D8AE-3B30-4690-A378-2D98A4888286}">
      <dsp:nvSpPr>
        <dsp:cNvPr id="0" name=""/>
        <dsp:cNvSpPr/>
      </dsp:nvSpPr>
      <dsp:spPr>
        <a:xfrm>
          <a:off x="2791901" y="1974427"/>
          <a:ext cx="1476207" cy="14762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L" sz="800" b="1" i="0" kern="1200"/>
            <a:t>Trabajadores — lo que necesitan recibir</a:t>
          </a:r>
        </a:p>
        <a:p>
          <a:pPr marL="0" lvl="0" indent="0" algn="ctr" defTabSz="355600">
            <a:lnSpc>
              <a:spcPct val="90000"/>
            </a:lnSpc>
            <a:spcBef>
              <a:spcPct val="0"/>
            </a:spcBef>
            <a:spcAft>
              <a:spcPct val="35000"/>
            </a:spcAft>
            <a:buNone/>
          </a:pPr>
          <a:r>
            <a:rPr lang="es-CL" sz="800" b="0" i="0" kern="1200"/>
            <a:t>Representación en subcomité técnico RENAPMA. Rol de auditor externo en los primeros 12 meses. Acción directa ante DT para inscripción forzada. Principio pro operario explícito en la ley.</a:t>
          </a:r>
          <a:endParaRPr lang="es-CL" sz="800" kern="1200"/>
        </a:p>
      </dsp:txBody>
      <dsp:txXfrm>
        <a:off x="2863963" y="2046489"/>
        <a:ext cx="1332083" cy="13320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6941F-94FC-45D1-8C74-7340F9B3989E}">
      <dsp:nvSpPr>
        <dsp:cNvPr id="0" name=""/>
        <dsp:cNvSpPr/>
      </dsp:nvSpPr>
      <dsp:spPr>
        <a:xfrm rot="5400000">
          <a:off x="2957654" y="-1889583"/>
          <a:ext cx="764939" cy="4547059"/>
        </a:xfrm>
        <a:prstGeom prst="round2SameRect">
          <a:avLst>
            <a:gd name="adj1" fmla="val 15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9411" tIns="75559" rIns="59411" bIns="75559" numCol="1" spcCol="1270" anchor="ctr" anchorCtr="0">
          <a:noAutofit/>
        </a:bodyPr>
        <a:lstStyle/>
        <a:p>
          <a:pPr marL="0" lvl="0" indent="0" algn="ctr" defTabSz="622300">
            <a:lnSpc>
              <a:spcPct val="90000"/>
            </a:lnSpc>
            <a:spcBef>
              <a:spcPct val="0"/>
            </a:spcBef>
            <a:spcAft>
              <a:spcPct val="35000"/>
            </a:spcAft>
            <a:buNone/>
          </a:pPr>
          <a:r>
            <a:rPr lang="es-CL" sz="1400" kern="1200"/>
            <a:t>1</a:t>
          </a:r>
        </a:p>
      </dsp:txBody>
      <dsp:txXfrm rot="16200000">
        <a:off x="22404" y="23881"/>
        <a:ext cx="1100326" cy="720131"/>
      </dsp:txXfrm>
    </dsp:sp>
    <dsp:sp modelId="{55F42DE2-F737-4644-B1E3-E2D4779195EB}">
      <dsp:nvSpPr>
        <dsp:cNvPr id="0" name=""/>
        <dsp:cNvSpPr/>
      </dsp:nvSpPr>
      <dsp:spPr>
        <a:xfrm>
          <a:off x="1122730" y="1476"/>
          <a:ext cx="4490923" cy="76493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95058" tIns="75559" rIns="95058" bIns="75559" numCol="1" spcCol="1270" anchor="ctr" anchorCtr="0">
          <a:noAutofit/>
        </a:bodyPr>
        <a:lstStyle/>
        <a:p>
          <a:pPr marL="0" lvl="0" indent="0" algn="just" defTabSz="488950">
            <a:lnSpc>
              <a:spcPct val="90000"/>
            </a:lnSpc>
            <a:spcBef>
              <a:spcPct val="0"/>
            </a:spcBef>
            <a:spcAft>
              <a:spcPct val="35000"/>
            </a:spcAft>
            <a:buNone/>
          </a:pPr>
          <a:r>
            <a:rPr lang="es-CL" sz="1100" kern="1200"/>
            <a:t>Mesa técnica bilateral empleadores-trabajadores (mes -4 antes de ingreso): definir umbrales consensuados para los 7 factores. Un acuerdo técnico previo elimina el debate político en el Congreso.</a:t>
          </a:r>
        </a:p>
      </dsp:txBody>
      <dsp:txXfrm>
        <a:off x="1122730" y="1476"/>
        <a:ext cx="4490923" cy="764939"/>
      </dsp:txXfrm>
    </dsp:sp>
    <dsp:sp modelId="{6820F917-6714-44D5-922E-AE1F71C468E8}">
      <dsp:nvSpPr>
        <dsp:cNvPr id="0" name=""/>
        <dsp:cNvSpPr/>
      </dsp:nvSpPr>
      <dsp:spPr>
        <a:xfrm rot="16200000">
          <a:off x="178895" y="-177418"/>
          <a:ext cx="764939" cy="1122730"/>
        </a:xfrm>
        <a:prstGeom prst="round2SameRect">
          <a:avLst>
            <a:gd name="adj1" fmla="val 1000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411" tIns="75559" rIns="59411" bIns="75559" numCol="1" spcCol="1270" anchor="ctr" anchorCtr="0">
          <a:noAutofit/>
        </a:bodyPr>
        <a:lstStyle/>
        <a:p>
          <a:pPr marL="0" lvl="0" indent="0" algn="ctr" defTabSz="622300">
            <a:lnSpc>
              <a:spcPct val="90000"/>
            </a:lnSpc>
            <a:spcBef>
              <a:spcPct val="0"/>
            </a:spcBef>
            <a:spcAft>
              <a:spcPct val="35000"/>
            </a:spcAft>
            <a:buNone/>
          </a:pPr>
          <a:r>
            <a:rPr lang="es-CL" sz="1400" kern="1200"/>
            <a:t>1</a:t>
          </a:r>
        </a:p>
      </dsp:txBody>
      <dsp:txXfrm rot="5400000">
        <a:off x="22404" y="23881"/>
        <a:ext cx="1100326" cy="720131"/>
      </dsp:txXfrm>
    </dsp:sp>
    <dsp:sp modelId="{B161530B-30FD-46A1-AB0C-127B78B3118D}">
      <dsp:nvSpPr>
        <dsp:cNvPr id="0" name=""/>
        <dsp:cNvSpPr/>
      </dsp:nvSpPr>
      <dsp:spPr>
        <a:xfrm rot="5400000">
          <a:off x="2957654" y="-1078747"/>
          <a:ext cx="764939" cy="4547059"/>
        </a:xfrm>
        <a:prstGeom prst="round2SameRect">
          <a:avLst>
            <a:gd name="adj1" fmla="val 15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9411" tIns="75559" rIns="59411" bIns="75559" numCol="1" spcCol="1270" anchor="ctr" anchorCtr="0">
          <a:noAutofit/>
        </a:bodyPr>
        <a:lstStyle/>
        <a:p>
          <a:pPr marL="0" lvl="0" indent="0" algn="ctr" defTabSz="622300">
            <a:lnSpc>
              <a:spcPct val="90000"/>
            </a:lnSpc>
            <a:spcBef>
              <a:spcPct val="0"/>
            </a:spcBef>
            <a:spcAft>
              <a:spcPct val="35000"/>
            </a:spcAft>
            <a:buNone/>
          </a:pPr>
          <a:r>
            <a:rPr lang="es-CL" sz="1400" kern="1200"/>
            <a:t>2</a:t>
          </a:r>
        </a:p>
      </dsp:txBody>
      <dsp:txXfrm rot="16200000">
        <a:off x="22404" y="834715"/>
        <a:ext cx="1100326" cy="720131"/>
      </dsp:txXfrm>
    </dsp:sp>
    <dsp:sp modelId="{211A1A23-5104-4695-BACC-C58B97837970}">
      <dsp:nvSpPr>
        <dsp:cNvPr id="0" name=""/>
        <dsp:cNvSpPr/>
      </dsp:nvSpPr>
      <dsp:spPr>
        <a:xfrm>
          <a:off x="1122730" y="812312"/>
          <a:ext cx="4490923" cy="76493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95058" tIns="75559" rIns="95058" bIns="75559" numCol="1" spcCol="1270" anchor="ctr" anchorCtr="0">
          <a:noAutofit/>
        </a:bodyPr>
        <a:lstStyle/>
        <a:p>
          <a:pPr marL="0" lvl="0" indent="0" algn="just" defTabSz="488950">
            <a:lnSpc>
              <a:spcPct val="90000"/>
            </a:lnSpc>
            <a:spcBef>
              <a:spcPct val="0"/>
            </a:spcBef>
            <a:spcAft>
              <a:spcPct val="35000"/>
            </a:spcAft>
            <a:buNone/>
          </a:pPr>
          <a:r>
            <a:rPr lang="es-CL" sz="1100" kern="1200"/>
            <a:t>Acuerdo institucional CEN-Superintendencia (mes -3): protocolo que delimita el nuevo rol de la CEN y le asigna presidencia del subcomité técnico RENAPMA. Evita la resistencia burocrática durante la tramitación.</a:t>
          </a:r>
        </a:p>
      </dsp:txBody>
      <dsp:txXfrm>
        <a:off x="1122730" y="812312"/>
        <a:ext cx="4490923" cy="764939"/>
      </dsp:txXfrm>
    </dsp:sp>
    <dsp:sp modelId="{28865E67-A853-4F21-ABF6-1876C53ABCA8}">
      <dsp:nvSpPr>
        <dsp:cNvPr id="0" name=""/>
        <dsp:cNvSpPr/>
      </dsp:nvSpPr>
      <dsp:spPr>
        <a:xfrm rot="16200000">
          <a:off x="178895" y="633416"/>
          <a:ext cx="764939" cy="1122730"/>
        </a:xfrm>
        <a:prstGeom prst="round2SameRect">
          <a:avLst>
            <a:gd name="adj1" fmla="val 1000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411" tIns="75559" rIns="59411" bIns="75559" numCol="1" spcCol="1270" anchor="ctr" anchorCtr="0">
          <a:noAutofit/>
        </a:bodyPr>
        <a:lstStyle/>
        <a:p>
          <a:pPr marL="0" lvl="0" indent="0" algn="ctr" defTabSz="622300">
            <a:lnSpc>
              <a:spcPct val="90000"/>
            </a:lnSpc>
            <a:spcBef>
              <a:spcPct val="0"/>
            </a:spcBef>
            <a:spcAft>
              <a:spcPct val="35000"/>
            </a:spcAft>
            <a:buNone/>
          </a:pPr>
          <a:r>
            <a:rPr lang="es-CL" sz="1400" kern="1200"/>
            <a:t>2</a:t>
          </a:r>
        </a:p>
      </dsp:txBody>
      <dsp:txXfrm rot="5400000">
        <a:off x="22404" y="834715"/>
        <a:ext cx="1100326" cy="720131"/>
      </dsp:txXfrm>
    </dsp:sp>
    <dsp:sp modelId="{DC50FEC3-50F5-4BBD-A330-052A738BBBBD}">
      <dsp:nvSpPr>
        <dsp:cNvPr id="0" name=""/>
        <dsp:cNvSpPr/>
      </dsp:nvSpPr>
      <dsp:spPr>
        <a:xfrm rot="5400000">
          <a:off x="2957654" y="-267912"/>
          <a:ext cx="764939" cy="4547059"/>
        </a:xfrm>
        <a:prstGeom prst="round2SameRect">
          <a:avLst>
            <a:gd name="adj1" fmla="val 15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9411" tIns="75559" rIns="59411" bIns="75559" numCol="1" spcCol="1270" anchor="ctr" anchorCtr="0">
          <a:noAutofit/>
        </a:bodyPr>
        <a:lstStyle/>
        <a:p>
          <a:pPr marL="0" lvl="0" indent="0" algn="ctr" defTabSz="622300">
            <a:lnSpc>
              <a:spcPct val="90000"/>
            </a:lnSpc>
            <a:spcBef>
              <a:spcPct val="0"/>
            </a:spcBef>
            <a:spcAft>
              <a:spcPct val="35000"/>
            </a:spcAft>
            <a:buNone/>
          </a:pPr>
          <a:r>
            <a:rPr lang="es-CL" sz="1400" kern="1200"/>
            <a:t>3</a:t>
          </a:r>
        </a:p>
      </dsp:txBody>
      <dsp:txXfrm rot="16200000">
        <a:off x="22404" y="1645551"/>
        <a:ext cx="1100326" cy="720131"/>
      </dsp:txXfrm>
    </dsp:sp>
    <dsp:sp modelId="{FA858D02-D3B9-4763-8863-C11730D86913}">
      <dsp:nvSpPr>
        <dsp:cNvPr id="0" name=""/>
        <dsp:cNvSpPr/>
      </dsp:nvSpPr>
      <dsp:spPr>
        <a:xfrm>
          <a:off x="1122730" y="1623148"/>
          <a:ext cx="4490923" cy="76493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95058" tIns="75559" rIns="95058" bIns="75559" numCol="1" spcCol="1270" anchor="ctr" anchorCtr="0">
          <a:noAutofit/>
        </a:bodyPr>
        <a:lstStyle/>
        <a:p>
          <a:pPr marL="0" lvl="0" indent="0" algn="just" defTabSz="488950">
            <a:lnSpc>
              <a:spcPct val="90000"/>
            </a:lnSpc>
            <a:spcBef>
              <a:spcPct val="0"/>
            </a:spcBef>
            <a:spcAft>
              <a:spcPct val="35000"/>
            </a:spcAft>
            <a:buNone/>
          </a:pPr>
          <a:r>
            <a:rPr lang="es-CL" sz="1100" kern="1200"/>
            <a:t>Piloto CODELCO-CUT (mes -2 a +6): inscripción voluntaria anticipada de 3 faenas como prueba del sistema. Los resultados del piloto se presentan en la comisión parlamentaria como evidencia técnica, reduciendo la incertidumbre legislativa.</a:t>
          </a:r>
        </a:p>
      </dsp:txBody>
      <dsp:txXfrm>
        <a:off x="1122730" y="1623148"/>
        <a:ext cx="4490923" cy="764939"/>
      </dsp:txXfrm>
    </dsp:sp>
    <dsp:sp modelId="{B7DD9ABE-037F-42B3-88C9-A1000916F287}">
      <dsp:nvSpPr>
        <dsp:cNvPr id="0" name=""/>
        <dsp:cNvSpPr/>
      </dsp:nvSpPr>
      <dsp:spPr>
        <a:xfrm rot="16200000">
          <a:off x="178895" y="1444252"/>
          <a:ext cx="764939" cy="1122730"/>
        </a:xfrm>
        <a:prstGeom prst="round2SameRect">
          <a:avLst>
            <a:gd name="adj1" fmla="val 1000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411" tIns="75559" rIns="59411" bIns="75559" numCol="1" spcCol="1270" anchor="ctr" anchorCtr="0">
          <a:noAutofit/>
        </a:bodyPr>
        <a:lstStyle/>
        <a:p>
          <a:pPr marL="0" lvl="0" indent="0" algn="ctr" defTabSz="622300">
            <a:lnSpc>
              <a:spcPct val="90000"/>
            </a:lnSpc>
            <a:spcBef>
              <a:spcPct val="0"/>
            </a:spcBef>
            <a:spcAft>
              <a:spcPct val="35000"/>
            </a:spcAft>
            <a:buNone/>
          </a:pPr>
          <a:r>
            <a:rPr lang="es-CL" sz="1400" kern="1200"/>
            <a:t>3</a:t>
          </a:r>
        </a:p>
      </dsp:txBody>
      <dsp:txXfrm rot="5400000">
        <a:off x="22404" y="1645551"/>
        <a:ext cx="1100326" cy="720131"/>
      </dsp:txXfrm>
    </dsp:sp>
    <dsp:sp modelId="{8A48F12F-B0DF-4056-B399-B03039B677EC}">
      <dsp:nvSpPr>
        <dsp:cNvPr id="0" name=""/>
        <dsp:cNvSpPr/>
      </dsp:nvSpPr>
      <dsp:spPr>
        <a:xfrm rot="5400000">
          <a:off x="2957654" y="542923"/>
          <a:ext cx="764939" cy="4547059"/>
        </a:xfrm>
        <a:prstGeom prst="round2SameRect">
          <a:avLst>
            <a:gd name="adj1" fmla="val 15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9411" tIns="75559" rIns="59411" bIns="75559" numCol="1" spcCol="1270" anchor="ctr" anchorCtr="0">
          <a:noAutofit/>
        </a:bodyPr>
        <a:lstStyle/>
        <a:p>
          <a:pPr marL="0" lvl="0" indent="0" algn="ctr" defTabSz="622300">
            <a:lnSpc>
              <a:spcPct val="90000"/>
            </a:lnSpc>
            <a:spcBef>
              <a:spcPct val="0"/>
            </a:spcBef>
            <a:spcAft>
              <a:spcPct val="35000"/>
            </a:spcAft>
            <a:buNone/>
          </a:pPr>
          <a:r>
            <a:rPr lang="es-CL" sz="1400" kern="1200"/>
            <a:t>4</a:t>
          </a:r>
        </a:p>
      </dsp:txBody>
      <dsp:txXfrm rot="16200000">
        <a:off x="22404" y="2456387"/>
        <a:ext cx="1100326" cy="720131"/>
      </dsp:txXfrm>
    </dsp:sp>
    <dsp:sp modelId="{5CC3616E-B1F6-423B-821E-7DC7196CF646}">
      <dsp:nvSpPr>
        <dsp:cNvPr id="0" name=""/>
        <dsp:cNvSpPr/>
      </dsp:nvSpPr>
      <dsp:spPr>
        <a:xfrm>
          <a:off x="1122730" y="2433983"/>
          <a:ext cx="4490923" cy="76493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95058" tIns="75559" rIns="95058" bIns="75559" numCol="1" spcCol="1270" anchor="ctr" anchorCtr="0">
          <a:noAutofit/>
        </a:bodyPr>
        <a:lstStyle/>
        <a:p>
          <a:pPr marL="0" lvl="0" indent="0" algn="just" defTabSz="488950">
            <a:lnSpc>
              <a:spcPct val="90000"/>
            </a:lnSpc>
            <a:spcBef>
              <a:spcPct val="0"/>
            </a:spcBef>
            <a:spcAft>
              <a:spcPct val="35000"/>
            </a:spcAft>
            <a:buNone/>
          </a:pPr>
          <a:r>
            <a:rPr lang="es-CL" sz="1100" kern="1200"/>
            <a:t>Ingreso del proyecto con acuerdo tripartito: el MINTRAB ingresa el proyecto con una minuta de acuerdo tripartito firmada como antecedente político, convirtiendo la resistencia institucional en apoyo documentado.</a:t>
          </a:r>
        </a:p>
      </dsp:txBody>
      <dsp:txXfrm>
        <a:off x="1122730" y="2433983"/>
        <a:ext cx="4490923" cy="764939"/>
      </dsp:txXfrm>
    </dsp:sp>
    <dsp:sp modelId="{6F4297CF-CCF0-4755-ADEA-23E0BBC97C6B}">
      <dsp:nvSpPr>
        <dsp:cNvPr id="0" name=""/>
        <dsp:cNvSpPr/>
      </dsp:nvSpPr>
      <dsp:spPr>
        <a:xfrm rot="16200000">
          <a:off x="178895" y="2255088"/>
          <a:ext cx="764939" cy="1122730"/>
        </a:xfrm>
        <a:prstGeom prst="round2SameRect">
          <a:avLst>
            <a:gd name="adj1" fmla="val 1000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411" tIns="75559" rIns="59411" bIns="75559" numCol="1" spcCol="1270" anchor="ctr" anchorCtr="0">
          <a:noAutofit/>
        </a:bodyPr>
        <a:lstStyle/>
        <a:p>
          <a:pPr marL="0" lvl="0" indent="0" algn="ctr" defTabSz="622300">
            <a:lnSpc>
              <a:spcPct val="90000"/>
            </a:lnSpc>
            <a:spcBef>
              <a:spcPct val="0"/>
            </a:spcBef>
            <a:spcAft>
              <a:spcPct val="35000"/>
            </a:spcAft>
            <a:buNone/>
          </a:pPr>
          <a:r>
            <a:rPr lang="es-CL" sz="1400" kern="1200"/>
            <a:t>4</a:t>
          </a:r>
        </a:p>
      </dsp:txBody>
      <dsp:txXfrm rot="5400000">
        <a:off x="22404" y="2456387"/>
        <a:ext cx="1100326" cy="720131"/>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24/layout/VerticalActionList">
  <dgm:title val=""/>
  <dgm:desc val=""/>
  <dgm:catLst>
    <dgm:cat type="list" pri="82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 modelId="5">
          <dgm:prSet phldr="1"/>
        </dgm:pt>
        <dgm:pt modelId="51">
          <dgm:prSet phldr="1"/>
        </dgm:pt>
      </dgm:ptLst>
      <dgm:cxnLst>
        <dgm:cxn modelId="4" srcId="0" destId="1" srcOrd="0" destOrd="0"/>
        <dgm:cxn modelId="5" srcId="0" destId="2" srcOrd="1" destOrd="0"/>
        <dgm:cxn modelId="6" srcId="0" destId="3" srcOrd="2" destOrd="0"/>
        <dgm:cxn modelId="7" srcId="0" destId="4" srcOrd="3" destOrd="0"/>
        <dgm:cxn modelId="8" srcId="0" destId="5" srcOrd="4" destOrd="0"/>
        <dgm:cxn modelId="13" srcId="1" destId="11" srcOrd="0" destOrd="0"/>
        <dgm:cxn modelId="23" srcId="2" destId="21" srcOrd="0" destOrd="0"/>
        <dgm:cxn modelId="33" srcId="3" destId="31" srcOrd="0" destOrd="0"/>
        <dgm:cxn modelId="43" srcId="4" destId="41" srcOrd="0" destOrd="0"/>
        <dgm:cxn modelId="53" srcId="5" destId="5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dirChoose">
      <dgm:if name="dirNorm" func="var" arg="dir" op="equ" val="norm">
        <dgm:alg type="lin">
          <dgm:param type="linDir" val="fromT"/>
          <dgm:param type="nodeHorzAlign" val="l"/>
        </dgm:alg>
      </dgm:if>
      <dgm:else name="dirRev">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6"/>
      <dgm:constr type="primFontSz" for="des" forName="parentText" op="equ" val="28"/>
      <dgm:constr type="primFontSz" for="des" forName="descendantText" refType="primFontSz" refFor="des" refForName="parentText" op="lte" fact="0.82"/>
      <dgm:constr type="primFontSz" for="des" forName="parentText" refType="primFontSz" refFor="des" refForName="descendantText" op="lte" fact="1.25"/>
    </dgm:constrLst>
    <dgm:ruleLst/>
    <dgm:forEach name="Name4" axis="ch" ptType="node">
      <dgm:layoutNode name="linNode">
        <dgm:alg type="composite"/>
        <dgm:shape xmlns:r="http://schemas.openxmlformats.org/officeDocument/2006/relationships" r:blip="">
          <dgm:adjLst/>
        </dgm:shape>
        <dgm:presOf/>
        <dgm:choose name="compositeDir">
          <dgm:if name="compositeNorm" func="var" arg="dir" op="equ" val="norm">
            <dgm:constrLst>
              <dgm:constr type="l" for="ch" forName="bgOutline" refType="w" fact="0.19"/>
              <dgm:constr type="t" for="ch" forName="bgOutline"/>
              <dgm:constr type="w" for="ch" forName="bgOutline" refType="w" fact="0.81"/>
              <dgm:constr type="h" for="ch" forName="bgOutline" refType="h"/>
              <dgm:constr type="l" for="ch" forName="parentText"/>
              <dgm:constr type="t" for="ch" forName="parentText"/>
              <dgm:constr type="w" for="ch" forName="parentText" refType="w" fact="0.2"/>
              <dgm:constr type="h" for="ch" forName="parentText" refType="h"/>
              <dgm:constr type="l" for="ch" forName="descendantText" refType="w" fact="0.2"/>
              <dgm:constr type="t" for="ch" forName="descendantText"/>
              <dgm:constr type="w" for="ch" forName="descendantText" refType="w" fact="0.8"/>
              <dgm:constr type="h" for="ch" forName="descendantText" refType="h"/>
            </dgm:constrLst>
          </dgm:if>
          <dgm:else name="compositeRev">
            <dgm:constrLst>
              <dgm:constr type="l" for="ch" forName="bgOutline"/>
              <dgm:constr type="t" for="ch" forName="bgOutline"/>
              <dgm:constr type="w" for="ch" forName="bgOutline" refType="w" fact="0.81"/>
              <dgm:constr type="h" for="ch" forName="bgOutline" refType="h"/>
              <dgm:constr type="l" for="ch" forName="parentText" refType="w" fact="0.8"/>
              <dgm:constr type="t" for="ch" forName="parentText"/>
              <dgm:constr type="w" for="ch" forName="parentText" refType="w" fact="0.2"/>
              <dgm:constr type="h" for="ch" forName="parentText" refType="h"/>
              <dgm:constr type="l" for="ch" forName="descendantText"/>
              <dgm:constr type="t" for="ch" forName="descendantText"/>
              <dgm:constr type="w" for="ch" forName="descendantText" refType="w" fact="0.8"/>
              <dgm:constr type="h" for="ch" forName="descendantText" refType="h"/>
            </dgm:constrLst>
          </dgm:else>
        </dgm:choose>
        <dgm:ruleLst/>
        <dgm:layoutNode name="bgOutline" styleLbl="fgAcc1">
          <dgm:alg type="sp"/>
          <dgm:choose name="bgOutlineDir">
            <dgm:if name="bgOutlineNorm" func="var" arg="dir" op="equ" val="norm">
              <dgm:shape xmlns:r="http://schemas.openxmlformats.org/officeDocument/2006/relationships" rot="90" type="round2SameRect" r:blip="">
                <dgm:adjLst>
                  <dgm:adj idx="1" val="0.15"/>
                  <dgm:adj idx="2" val="0"/>
                </dgm:adjLst>
              </dgm:shape>
            </dgm:if>
            <dgm:else name="bgOutlineRev">
              <dgm:shape xmlns:r="http://schemas.openxmlformats.org/officeDocument/2006/relationships" rot="-90" type="round2SameRect" r:blip="">
                <dgm:adjLst>
                  <dgm:adj idx="1" val="0.15"/>
                  <dgm:adj idx="2" val="0"/>
                </dgm:adjLst>
              </dgm:shape>
            </dgm:else>
          </dgm:choose>
          <dgm:presOf axis="self"/>
          <dgm:constrLst/>
          <dgm:ruleLst/>
        </dgm:layoutNode>
        <dgm:layoutNode name="parentText" styleLbl="alignNode1">
          <dgm:varLst>
            <dgm:chMax val="1"/>
            <dgm:bulletEnabled/>
          </dgm:varLst>
          <dgm:alg type="tx">
            <dgm:param type="parTxLTRAlign" val="l"/>
            <dgm:param type="parTxRTLAlign" val="r"/>
          </dgm:alg>
          <dgm:choose name="parentShapeDir">
            <dgm:if name="parentShapeNorm" func="var" arg="dir" op="equ" val="norm">
              <dgm:shape xmlns:r="http://schemas.openxmlformats.org/officeDocument/2006/relationships" rot="-90" type="round2SameRect" r:blip="" zOrderOff="3">
                <dgm:adjLst>
                  <dgm:adj idx="1" val="0.1"/>
                </dgm:adjLst>
              </dgm:shape>
            </dgm:if>
            <dgm:else name="parentShapeRev">
              <dgm:shape xmlns:r="http://schemas.openxmlformats.org/officeDocument/2006/relationships" rot="90" type="round2SameRect" r:blip="" zOrderOff="3">
                <dgm:adjLst>
                  <dgm:adj idx="1" val="0.1"/>
                </dgm:adjLst>
              </dgm:shape>
            </dgm:else>
          </dgm:choose>
          <dgm:presOf axis="self" ptType="node"/>
          <dgm:constrLst>
            <dgm:constr type="tMarg" refType="h" fact="0.28"/>
            <dgm:constr type="bMarg" refType="h" fact="0.28"/>
            <dgm:constr type="lMarg" refType="w" fact="0.15"/>
            <dgm:constr type="rMarg" refType="w" fact="0.15"/>
          </dgm:constrLst>
          <dgm:ruleLst>
            <dgm:rule type="primFontSz" val="8" fact="NaN" max="NaN"/>
          </dgm:ruleLst>
        </dgm:layoutNode>
        <dgm:layoutNode name="descendantText" styleLbl="revTx">
          <dgm:varLst>
            <dgm:bulletEnabled/>
          </dgm:varLst>
          <dgm:alg type="tx">
            <dgm:param type="stBulletLvl" val="0"/>
            <dgm:param type="parTxLTRAlign" val="l"/>
            <dgm:param type="shpTxLTRAlignCh" val="l"/>
            <dgm:param type="parTxRTLAlign" val="r"/>
            <dgm:param type="shpTxRTLAlignCh" val="r"/>
          </dgm:alg>
          <dgm:shape xmlns:r="http://schemas.openxmlformats.org/officeDocument/2006/relationships" type="rect" r:blip="" hideGeom="1">
            <dgm:adjLst/>
          </dgm:shape>
          <dgm:presOf axis="des" ptType="node"/>
          <dgm:constrLst>
            <dgm:constr type="primFontSz" val="24"/>
            <dgm:constr type="lMarg" refType="w" fact="0.06"/>
            <dgm:constr type="rMarg" refType="w" fact="0.06"/>
            <dgm:constr type="tMarg" refType="h" fact="0.28"/>
            <dgm:constr type="bMarg" refType="h" fact="0.28"/>
          </dgm:constrLst>
          <dgm:ruleLst>
            <dgm:rule type="primFontSz" val="11" fact="NaN" max="NaN"/>
          </dgm:ruleLst>
        </dgm:layoutNod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6B861-7C95-455D-B40B-63C4780DE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33</Pages>
  <Words>10731</Words>
  <Characters>61816</Characters>
  <Application>Microsoft Office Word</Application>
  <DocSecurity>0</DocSecurity>
  <Lines>1585</Lines>
  <Paragraphs>853</Paragraphs>
  <ScaleCrop>false</ScaleCrop>
  <Company/>
  <LinksUpToDate>false</LinksUpToDate>
  <CharactersWithSpaces>71694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Francisco Alvarez Alvarez</cp:lastModifiedBy>
  <cp:revision>31</cp:revision>
  <dcterms:created xsi:type="dcterms:W3CDTF">2026-04-28T06:36:00Z</dcterms:created>
  <dcterms:modified xsi:type="dcterms:W3CDTF">2026-04-30T04:35:00Z</dcterms:modified>
</cp:coreProperties>
</file>